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6E9" w:rsidP="59C050CB" w:rsidRDefault="00D20AB3" w14:paraId="6EAFE799" w14:textId="0175DE9A">
      <w:pPr>
        <w:spacing w:before="120" w:after="120"/>
        <w:jc w:val="both"/>
        <w:rPr>
          <w:sz w:val="20"/>
          <w:szCs w:val="20"/>
        </w:rPr>
      </w:pPr>
      <w:r w:rsidRPr="59C050CB">
        <w:rPr>
          <w:spacing w:val="-1"/>
          <w:sz w:val="20"/>
          <w:szCs w:val="20"/>
        </w:rPr>
        <w:t>The following list identifies the current or anticipated vac</w:t>
      </w:r>
      <w:r w:rsidRPr="59C050CB" w:rsidR="00974CEE">
        <w:rPr>
          <w:spacing w:val="-1"/>
          <w:sz w:val="20"/>
          <w:szCs w:val="20"/>
        </w:rPr>
        <w:t>ancies</w:t>
      </w:r>
      <w:r w:rsidRPr="59C050CB">
        <w:rPr>
          <w:spacing w:val="-1"/>
          <w:sz w:val="20"/>
          <w:szCs w:val="20"/>
        </w:rPr>
        <w:t xml:space="preserve"> </w:t>
      </w:r>
      <w:r w:rsidRPr="59C050CB" w:rsidR="00974CEE">
        <w:rPr>
          <w:spacing w:val="-1"/>
          <w:sz w:val="20"/>
          <w:szCs w:val="20"/>
        </w:rPr>
        <w:t xml:space="preserve">of the </w:t>
      </w:r>
      <w:r w:rsidRPr="59C050CB">
        <w:rPr>
          <w:spacing w:val="-1"/>
          <w:sz w:val="20"/>
          <w:szCs w:val="20"/>
        </w:rPr>
        <w:t>Advisory Organization positions required to be filled during the 20</w:t>
      </w:r>
      <w:r w:rsidRPr="59C050CB" w:rsidR="00EA1106">
        <w:rPr>
          <w:spacing w:val="-1"/>
          <w:sz w:val="20"/>
          <w:szCs w:val="20"/>
        </w:rPr>
        <w:t>2</w:t>
      </w:r>
      <w:r w:rsidRPr="59C050CB" w:rsidR="1DB60994">
        <w:rPr>
          <w:spacing w:val="-1"/>
          <w:sz w:val="20"/>
          <w:szCs w:val="20"/>
        </w:rPr>
        <w:t>5</w:t>
      </w:r>
      <w:r w:rsidRPr="59C050CB" w:rsidR="00EA18F9">
        <w:rPr>
          <w:spacing w:val="-1"/>
          <w:sz w:val="20"/>
          <w:szCs w:val="20"/>
        </w:rPr>
        <w:t xml:space="preserve"> </w:t>
      </w:r>
      <w:r w:rsidRPr="59C050CB">
        <w:rPr>
          <w:spacing w:val="-1"/>
          <w:sz w:val="20"/>
          <w:szCs w:val="20"/>
        </w:rPr>
        <w:t>Advisory Organization Member Solicitation</w:t>
      </w:r>
      <w:r w:rsidRPr="59C050CB" w:rsidR="00EA1106">
        <w:rPr>
          <w:spacing w:val="-1"/>
          <w:sz w:val="20"/>
          <w:szCs w:val="20"/>
        </w:rPr>
        <w:t xml:space="preserve">. </w:t>
      </w:r>
      <w:r w:rsidRPr="59C050CB" w:rsidR="00DD374C">
        <w:rPr>
          <w:spacing w:val="-1"/>
          <w:sz w:val="20"/>
          <w:szCs w:val="20"/>
        </w:rPr>
        <w:t>The number of vacancies expected in each position is identified, and a link is provided</w:t>
      </w:r>
      <w:r w:rsidRPr="59C050CB">
        <w:rPr>
          <w:spacing w:val="-1"/>
          <w:sz w:val="20"/>
          <w:szCs w:val="20"/>
        </w:rPr>
        <w:t xml:space="preserve"> to the </w:t>
      </w:r>
      <w:r w:rsidRPr="59C050CB">
        <w:rPr>
          <w:sz w:val="20"/>
          <w:szCs w:val="20"/>
        </w:rPr>
        <w:t>Knowledge, Skills, and Abilities (KSAs) for that position.</w:t>
      </w:r>
      <w:r w:rsidRPr="59C050CB" w:rsidR="00055FA3">
        <w:rPr>
          <w:sz w:val="20"/>
          <w:szCs w:val="20"/>
        </w:rPr>
        <w:t xml:space="preserve">  </w:t>
      </w:r>
    </w:p>
    <w:tbl>
      <w:tblPr>
        <w:tblStyle w:val="TableGrid"/>
        <w:tblW w:w="9285" w:type="dxa"/>
        <w:tblLayout w:type="fixed"/>
        <w:tblLook w:val="04A0" w:firstRow="1" w:lastRow="0" w:firstColumn="1" w:lastColumn="0" w:noHBand="0" w:noVBand="1"/>
      </w:tblPr>
      <w:tblGrid>
        <w:gridCol w:w="5010"/>
        <w:gridCol w:w="1125"/>
        <w:gridCol w:w="3150"/>
      </w:tblGrid>
      <w:tr w:rsidR="009161B5" w:rsidTr="2DF049BC" w14:paraId="477AB111" w14:textId="77777777">
        <w:trPr>
          <w:trHeight w:val="317"/>
        </w:trPr>
        <w:tc>
          <w:tcPr>
            <w:tcW w:w="5010" w:type="dxa"/>
            <w:shd w:val="clear" w:color="auto" w:fill="D9D9D9" w:themeFill="background1" w:themeFillShade="D9"/>
            <w:tcMar/>
            <w:vAlign w:val="center"/>
          </w:tcPr>
          <w:p w:rsidR="009161B5" w:rsidP="008D70AE" w:rsidRDefault="009161B5" w14:paraId="6D54DBA1" w14:textId="77777777">
            <w:r>
              <w:rPr>
                <w:b/>
              </w:rPr>
              <w:t>STRATEGIC GROUP</w:t>
            </w:r>
          </w:p>
        </w:tc>
        <w:tc>
          <w:tcPr>
            <w:tcW w:w="1125" w:type="dxa"/>
            <w:shd w:val="clear" w:color="auto" w:fill="D9D9D9" w:themeFill="background1" w:themeFillShade="D9"/>
            <w:tcMar/>
            <w:vAlign w:val="center"/>
          </w:tcPr>
          <w:p w:rsidR="009161B5" w:rsidP="59C050CB" w:rsidRDefault="2C2ADDF2" w14:paraId="6B7AA3D9" w14:textId="77777777">
            <w:pPr>
              <w:jc w:val="center"/>
            </w:pPr>
            <w:r>
              <w:t>Vacancy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  <w:vAlign w:val="center"/>
          </w:tcPr>
          <w:p w:rsidR="009161B5" w:rsidP="00302C74" w:rsidRDefault="009161B5" w14:paraId="5AECBF7B" w14:textId="77777777">
            <w:pPr>
              <w:jc w:val="center"/>
            </w:pPr>
          </w:p>
        </w:tc>
      </w:tr>
      <w:tr w:rsidR="00910FCB" w:rsidTr="2DF049BC" w14:paraId="04BB828E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910FCB" w:rsidP="59C050CB" w:rsidRDefault="2EA0CC34" w14:paraId="48E7BBC8" w14:textId="7C4198F7">
            <w:pPr>
              <w:rPr>
                <w:sz w:val="20"/>
                <w:szCs w:val="20"/>
              </w:rPr>
            </w:pPr>
            <w:r w:rsidRPr="416DE4AD">
              <w:rPr>
                <w:sz w:val="20"/>
                <w:szCs w:val="20"/>
              </w:rPr>
              <w:t>Sponsoring Agency Chief’s Representative</w:t>
            </w:r>
          </w:p>
        </w:tc>
        <w:tc>
          <w:tcPr>
            <w:tcW w:w="1125" w:type="dxa"/>
            <w:tcMar/>
            <w:vAlign w:val="center"/>
          </w:tcPr>
          <w:p w:rsidRPr="00C256E9" w:rsidR="00910FCB" w:rsidP="416DE4AD" w:rsidRDefault="150CE042" w14:paraId="7D1BC2FE" w14:textId="394F4380">
            <w:pPr>
              <w:jc w:val="center"/>
              <w:rPr>
                <w:sz w:val="20"/>
                <w:szCs w:val="20"/>
              </w:rPr>
            </w:pPr>
            <w:r w:rsidRPr="416DE4AD">
              <w:rPr>
                <w:sz w:val="20"/>
                <w:szCs w:val="20"/>
              </w:rPr>
              <w:t>0</w:t>
            </w:r>
          </w:p>
        </w:tc>
        <w:tc>
          <w:tcPr>
            <w:tcW w:w="3150" w:type="dxa"/>
            <w:tcMar/>
            <w:vAlign w:val="center"/>
          </w:tcPr>
          <w:p w:rsidR="00910FCB" w:rsidP="008D70AE" w:rsidRDefault="005C0ECD" w14:paraId="2D147439" w14:textId="66B295A8">
            <w:pPr>
              <w:jc w:val="center"/>
            </w:pPr>
            <w:hyperlink w:history="1" r:id="rId10">
              <w:r w:rsidRPr="005C0ECD">
                <w:rPr>
                  <w:rStyle w:val="Hyperlink"/>
                </w:rPr>
                <w:t>KSA Link</w:t>
              </w:r>
            </w:hyperlink>
          </w:p>
        </w:tc>
      </w:tr>
      <w:tr w:rsidR="009F07C2" w:rsidTr="2DF049BC" w14:paraId="3FF01494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9F07C2" w:rsidP="008D70AE" w:rsidRDefault="009F07C2" w14:paraId="3233849B" w14:textId="3318952F">
            <w:pPr>
              <w:rPr>
                <w:sz w:val="20"/>
              </w:rPr>
            </w:pPr>
            <w:r>
              <w:rPr>
                <w:sz w:val="20"/>
              </w:rPr>
              <w:t xml:space="preserve">Advisory </w:t>
            </w:r>
            <w:r w:rsidR="00D869C8">
              <w:rPr>
                <w:sz w:val="20"/>
              </w:rPr>
              <w:t>Organization</w:t>
            </w:r>
            <w:r>
              <w:rPr>
                <w:sz w:val="20"/>
              </w:rPr>
              <w:t xml:space="preserve"> Chair</w:t>
            </w:r>
          </w:p>
        </w:tc>
        <w:tc>
          <w:tcPr>
            <w:tcW w:w="1125" w:type="dxa"/>
            <w:tcMar/>
            <w:vAlign w:val="center"/>
          </w:tcPr>
          <w:p w:rsidR="009F07C2" w:rsidP="416DE4AD" w:rsidRDefault="1BE4A376" w14:paraId="7D73042C" w14:textId="73B8CD1C">
            <w:pPr>
              <w:jc w:val="center"/>
              <w:rPr>
                <w:sz w:val="20"/>
                <w:szCs w:val="20"/>
              </w:rPr>
            </w:pPr>
            <w:r w:rsidRPr="416DE4AD">
              <w:rPr>
                <w:sz w:val="20"/>
                <w:szCs w:val="20"/>
              </w:rPr>
              <w:t>0</w:t>
            </w:r>
          </w:p>
        </w:tc>
        <w:tc>
          <w:tcPr>
            <w:tcW w:w="3150" w:type="dxa"/>
            <w:tcMar/>
            <w:vAlign w:val="center"/>
          </w:tcPr>
          <w:p w:rsidR="009F07C2" w:rsidP="008D70AE" w:rsidRDefault="005C0ECD" w14:paraId="40741255" w14:textId="44DD87DF">
            <w:pPr>
              <w:jc w:val="center"/>
            </w:pPr>
            <w:hyperlink w:history="1" r:id="rId11">
              <w:r w:rsidRPr="005C0ECD">
                <w:rPr>
                  <w:rStyle w:val="Hyperlink"/>
                </w:rPr>
                <w:t>KSA Link</w:t>
              </w:r>
            </w:hyperlink>
          </w:p>
        </w:tc>
      </w:tr>
      <w:tr w:rsidR="00397858" w:rsidTr="2DF049BC" w14:paraId="51043658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397858" w:rsidP="008D70AE" w:rsidRDefault="00397858" w14:paraId="4451346F" w14:textId="36E02364">
            <w:pPr>
              <w:rPr>
                <w:sz w:val="20"/>
              </w:rPr>
            </w:pPr>
            <w:r>
              <w:rPr>
                <w:sz w:val="20"/>
              </w:rPr>
              <w:t>Task Force Representative – National</w:t>
            </w:r>
          </w:p>
        </w:tc>
        <w:tc>
          <w:tcPr>
            <w:tcW w:w="1125" w:type="dxa"/>
            <w:tcMar/>
            <w:vAlign w:val="center"/>
          </w:tcPr>
          <w:p w:rsidR="00397858" w:rsidP="59C050CB" w:rsidRDefault="368F2E4C" w14:paraId="7A555A64" w14:textId="7E2C1225">
            <w:pPr>
              <w:jc w:val="center"/>
              <w:rPr>
                <w:sz w:val="20"/>
                <w:szCs w:val="20"/>
              </w:rPr>
            </w:pPr>
            <w:r w:rsidRPr="59C050CB">
              <w:rPr>
                <w:sz w:val="20"/>
                <w:szCs w:val="20"/>
              </w:rPr>
              <w:t>0</w:t>
            </w:r>
          </w:p>
        </w:tc>
        <w:tc>
          <w:tcPr>
            <w:tcW w:w="3150" w:type="dxa"/>
            <w:tcMar/>
            <w:vAlign w:val="center"/>
          </w:tcPr>
          <w:p w:rsidR="00397858" w:rsidP="008D70AE" w:rsidRDefault="00397858" w14:paraId="3779A6E3" w14:textId="5768EAC3">
            <w:pPr>
              <w:jc w:val="center"/>
            </w:pPr>
            <w:hyperlink w:history="1" r:id="rId12">
              <w:r w:rsidRPr="005C0ECD">
                <w:rPr>
                  <w:rStyle w:val="Hyperlink"/>
                </w:rPr>
                <w:t>KSA Link</w:t>
              </w:r>
            </w:hyperlink>
          </w:p>
        </w:tc>
      </w:tr>
      <w:tr w:rsidR="00C256E9" w:rsidTr="2DF049BC" w14:paraId="0B551190" w14:textId="77777777">
        <w:trPr>
          <w:trHeight w:val="317"/>
        </w:trPr>
        <w:tc>
          <w:tcPr>
            <w:tcW w:w="9285" w:type="dxa"/>
            <w:gridSpan w:val="3"/>
            <w:shd w:val="clear" w:color="auto" w:fill="D9D9D9" w:themeFill="background1" w:themeFillShade="D9"/>
            <w:tcMar/>
            <w:vAlign w:val="center"/>
          </w:tcPr>
          <w:p w:rsidR="00C256E9" w:rsidP="008D70AE" w:rsidRDefault="00C256E9" w14:paraId="3273461A" w14:textId="77777777">
            <w:r>
              <w:rPr>
                <w:b/>
              </w:rPr>
              <w:t>SENIOR STAFF</w:t>
            </w:r>
          </w:p>
        </w:tc>
      </w:tr>
      <w:tr w:rsidR="005C0ECD" w:rsidTr="2DF049BC" w14:paraId="373F5FEB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5C0ECD" w:rsidP="59C050CB" w:rsidRDefault="7888FF96" w14:paraId="598F8B0A" w14:textId="3EE819FF">
            <w:pPr>
              <w:rPr>
                <w:sz w:val="20"/>
                <w:szCs w:val="20"/>
              </w:rPr>
            </w:pPr>
            <w:r w:rsidRPr="25549690" w:rsidR="7888FF96">
              <w:rPr>
                <w:sz w:val="20"/>
                <w:szCs w:val="20"/>
              </w:rPr>
              <w:t>Task Force Representative – Divisional</w:t>
            </w:r>
            <w:r w:rsidRPr="25549690" w:rsidR="00EA1106">
              <w:rPr>
                <w:sz w:val="20"/>
                <w:szCs w:val="20"/>
              </w:rPr>
              <w:t xml:space="preserve"> (</w:t>
            </w:r>
            <w:r w:rsidRPr="25549690" w:rsidR="18001293">
              <w:rPr>
                <w:color w:val="auto"/>
                <w:sz w:val="20"/>
                <w:szCs w:val="20"/>
              </w:rPr>
              <w:t>Central</w:t>
            </w:r>
            <w:r w:rsidRPr="25549690" w:rsidR="00EA1106">
              <w:rPr>
                <w:sz w:val="20"/>
                <w:szCs w:val="20"/>
              </w:rPr>
              <w:t>)</w:t>
            </w:r>
          </w:p>
        </w:tc>
        <w:tc>
          <w:tcPr>
            <w:tcW w:w="1125" w:type="dxa"/>
            <w:tcMar/>
            <w:vAlign w:val="center"/>
          </w:tcPr>
          <w:p w:rsidRPr="00C256E9" w:rsidR="005C0ECD" w:rsidP="25549690" w:rsidRDefault="3D058647" w14:paraId="72D5F4A4" w14:textId="2E918683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3D05864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150" w:type="dxa"/>
            <w:tcMar/>
          </w:tcPr>
          <w:p w:rsidR="005C0ECD" w:rsidP="005C0ECD" w:rsidRDefault="005C0ECD" w14:paraId="15173B01" w14:textId="6E7460CE">
            <w:pPr>
              <w:jc w:val="center"/>
            </w:pPr>
            <w:hyperlink w:history="1" r:id="rId13">
              <w:r w:rsidRPr="00D252F2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0A3FC366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5C0ECD" w:rsidP="005C0ECD" w:rsidRDefault="001B135A" w14:paraId="51B08F2D" w14:textId="2B210F26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  <w:r w:rsidR="005C0ECD">
              <w:rPr>
                <w:sz w:val="20"/>
              </w:rPr>
              <w:t xml:space="preserve"> Representative</w:t>
            </w:r>
          </w:p>
        </w:tc>
        <w:tc>
          <w:tcPr>
            <w:tcW w:w="1125" w:type="dxa"/>
            <w:tcMar/>
            <w:vAlign w:val="center"/>
          </w:tcPr>
          <w:p w:rsidR="005C0ECD" w:rsidP="416DE4AD" w:rsidRDefault="2B5AA1E9" w14:paraId="7D718749" w14:textId="02665FA8">
            <w:pPr>
              <w:jc w:val="center"/>
              <w:rPr>
                <w:sz w:val="20"/>
                <w:szCs w:val="20"/>
              </w:rPr>
            </w:pPr>
            <w:r w:rsidRPr="416DE4AD">
              <w:rPr>
                <w:sz w:val="20"/>
                <w:szCs w:val="20"/>
              </w:rPr>
              <w:t>0</w:t>
            </w:r>
          </w:p>
        </w:tc>
        <w:tc>
          <w:tcPr>
            <w:tcW w:w="3150" w:type="dxa"/>
            <w:tcMar/>
          </w:tcPr>
          <w:p w:rsidR="005C0ECD" w:rsidP="005C0ECD" w:rsidRDefault="005C0ECD" w14:paraId="076008D7" w14:textId="01B2C017">
            <w:pPr>
              <w:jc w:val="center"/>
            </w:pPr>
            <w:hyperlink w:history="1" r:id="rId14">
              <w:r w:rsidRPr="00D252F2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36945528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44866B29" w:rsidRDefault="252DA920" w14:paraId="555F6D97" w14:textId="32CC3624">
            <w:pPr>
              <w:rPr>
                <w:sz w:val="20"/>
                <w:szCs w:val="20"/>
              </w:rPr>
            </w:pPr>
            <w:r w:rsidRPr="416DE4AD">
              <w:rPr>
                <w:sz w:val="20"/>
                <w:szCs w:val="20"/>
              </w:rPr>
              <w:t>Functional Group Leader</w:t>
            </w:r>
          </w:p>
        </w:tc>
        <w:tc>
          <w:tcPr>
            <w:tcW w:w="1125" w:type="dxa"/>
            <w:tcMar/>
            <w:vAlign w:val="center"/>
          </w:tcPr>
          <w:p w:rsidR="005C0ECD" w:rsidP="416DE4AD" w:rsidRDefault="7610890D" w14:paraId="48FC205B" w14:textId="4D1A40E7">
            <w:pPr>
              <w:jc w:val="center"/>
              <w:rPr>
                <w:sz w:val="20"/>
                <w:szCs w:val="20"/>
              </w:rPr>
            </w:pPr>
            <w:r w:rsidRPr="416DE4AD">
              <w:rPr>
                <w:sz w:val="20"/>
                <w:szCs w:val="20"/>
              </w:rPr>
              <w:t>0</w:t>
            </w:r>
          </w:p>
        </w:tc>
        <w:tc>
          <w:tcPr>
            <w:tcW w:w="3150" w:type="dxa"/>
            <w:tcMar/>
          </w:tcPr>
          <w:p w:rsidR="005C0ECD" w:rsidP="005C0ECD" w:rsidRDefault="005C0ECD" w14:paraId="0B722F7C" w14:textId="64899811">
            <w:pPr>
              <w:jc w:val="center"/>
            </w:pPr>
            <w:hyperlink w:history="1" r:id="rId15">
              <w:r w:rsidRPr="00D252F2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3BDC5DC5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6495F51E" w14:textId="62056139">
            <w:pPr>
              <w:rPr>
                <w:sz w:val="20"/>
              </w:rPr>
            </w:pPr>
            <w:r>
              <w:rPr>
                <w:sz w:val="20"/>
              </w:rPr>
              <w:t>Deputy Advisory Group Chair</w:t>
            </w:r>
          </w:p>
        </w:tc>
        <w:tc>
          <w:tcPr>
            <w:tcW w:w="1125" w:type="dxa"/>
            <w:tcMar/>
            <w:vAlign w:val="center"/>
          </w:tcPr>
          <w:p w:rsidR="005C0ECD" w:rsidP="005C0ECD" w:rsidRDefault="00DD374C" w14:paraId="67E97D07" w14:textId="3E487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50" w:type="dxa"/>
            <w:tcMar/>
          </w:tcPr>
          <w:p w:rsidR="005C0ECD" w:rsidP="005C0ECD" w:rsidRDefault="005C0ECD" w14:paraId="036E5C6C" w14:textId="0D9BAA88">
            <w:pPr>
              <w:jc w:val="center"/>
            </w:pPr>
            <w:hyperlink w:history="1" r:id="rId16">
              <w:r w:rsidRPr="00D252F2">
                <w:rPr>
                  <w:rStyle w:val="Hyperlink"/>
                </w:rPr>
                <w:t>KSA Link</w:t>
              </w:r>
            </w:hyperlink>
          </w:p>
        </w:tc>
      </w:tr>
      <w:tr w:rsidR="001831DC" w:rsidTr="2DF049BC" w14:paraId="4DB9C90C" w14:textId="77777777">
        <w:trPr>
          <w:trHeight w:val="317"/>
        </w:trPr>
        <w:tc>
          <w:tcPr>
            <w:tcW w:w="9285" w:type="dxa"/>
            <w:gridSpan w:val="3"/>
            <w:shd w:val="clear" w:color="auto" w:fill="DBDBDB" w:themeFill="accent3" w:themeFillTint="66"/>
            <w:tcMar/>
            <w:vAlign w:val="center"/>
          </w:tcPr>
          <w:p w:rsidR="001831DC" w:rsidP="001831DC" w:rsidRDefault="001831DC" w14:paraId="42F8614E" w14:textId="090F78C3">
            <w:r w:rsidRPr="001831DC">
              <w:rPr>
                <w:b/>
                <w:bCs/>
                <w:sz w:val="20"/>
              </w:rPr>
              <w:t>COMMAND</w:t>
            </w:r>
          </w:p>
        </w:tc>
      </w:tr>
      <w:tr w:rsidR="005C0ECD" w:rsidTr="2DF049BC" w14:paraId="3AF0E6CE" w14:textId="01079D3C">
        <w:trPr>
          <w:trHeight w:val="317"/>
        </w:trPr>
        <w:tc>
          <w:tcPr>
            <w:tcW w:w="5010" w:type="dxa"/>
            <w:tcMar/>
            <w:vAlign w:val="center"/>
          </w:tcPr>
          <w:p w:rsidRPr="004D0C77" w:rsidR="005C0ECD" w:rsidP="005C0ECD" w:rsidRDefault="005C0ECD" w14:paraId="19BE773C" w14:textId="158C75FB">
            <w:pPr>
              <w:rPr>
                <w:sz w:val="20"/>
              </w:rPr>
            </w:pPr>
            <w:r w:rsidRPr="004D0C77">
              <w:rPr>
                <w:sz w:val="20"/>
              </w:rPr>
              <w:t>Response Subgroup</w:t>
            </w:r>
            <w:r w:rsidR="005D59A5">
              <w:rPr>
                <w:sz w:val="20"/>
              </w:rPr>
              <w:t xml:space="preserve"> 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4D8F2999" w14:paraId="0975D6D4" w14:textId="5DBB66E8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4D8F299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Pr="004D0C77" w:rsidR="005C0ECD" w:rsidP="005C0ECD" w:rsidRDefault="005C0ECD" w14:paraId="1C27BEC5" w14:textId="3C7FA45D">
            <w:pPr>
              <w:jc w:val="center"/>
              <w:rPr>
                <w:sz w:val="20"/>
              </w:rPr>
            </w:pPr>
            <w:hyperlink w:history="1" r:id="rId17">
              <w:r w:rsidRPr="00BE4E5F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249243C0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A780CE2" w:rsidRDefault="005C0ECD" w14:paraId="64CFF0D6" w14:textId="03F80C90">
            <w:pPr>
              <w:rPr>
                <w:sz w:val="20"/>
                <w:szCs w:val="20"/>
              </w:rPr>
            </w:pPr>
            <w:r w:rsidRPr="2DF049BC" w:rsidR="005C0ECD">
              <w:rPr>
                <w:sz w:val="20"/>
                <w:szCs w:val="20"/>
              </w:rPr>
              <w:t>Incident Support Team (IST) Subgroup</w:t>
            </w:r>
            <w:r w:rsidRPr="2DF049BC" w:rsidR="3B75D6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2FCC6600" w14:paraId="185732F6" w14:textId="62A96D54">
            <w:pPr>
              <w:jc w:val="center"/>
              <w:rPr>
                <w:color w:val="auto"/>
                <w:sz w:val="20"/>
                <w:szCs w:val="20"/>
              </w:rPr>
            </w:pPr>
            <w:r w:rsidRPr="2DF049BC" w:rsidR="0C276AB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644ACC73" w14:textId="07D16066">
            <w:pPr>
              <w:jc w:val="center"/>
            </w:pPr>
            <w:hyperlink w:history="1" r:id="rId18">
              <w:r w:rsidRPr="00BE4E5F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6B5F6AE9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486D4822" w14:textId="7187D7E9">
            <w:pPr>
              <w:rPr>
                <w:sz w:val="20"/>
              </w:rPr>
            </w:pPr>
            <w:r>
              <w:rPr>
                <w:sz w:val="20"/>
              </w:rPr>
              <w:t>Planning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7E75C0F1" w14:paraId="23751F4A" w14:textId="01778A0B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7E75C0F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5F3E12AD" w14:textId="066BF004">
            <w:pPr>
              <w:jc w:val="center"/>
            </w:pPr>
            <w:hyperlink w:history="1" r:id="rId19">
              <w:r w:rsidRPr="00BE4E5F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68DBD402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2957D322" w14:textId="5B125DF5">
            <w:pPr>
              <w:rPr>
                <w:sz w:val="20"/>
              </w:rPr>
            </w:pPr>
            <w:r>
              <w:rPr>
                <w:sz w:val="20"/>
              </w:rPr>
              <w:t>Safety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548EF135" w14:paraId="294B8B08" w14:textId="60D04785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548EF13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150" w:type="dxa"/>
            <w:tcMar/>
          </w:tcPr>
          <w:p w:rsidR="005C0ECD" w:rsidP="005C0ECD" w:rsidRDefault="005C0ECD" w14:paraId="522176EA" w14:textId="75E37D73">
            <w:pPr>
              <w:jc w:val="center"/>
            </w:pPr>
            <w:hyperlink w:history="1" r:id="rId20">
              <w:r w:rsidRPr="00BE4E5F">
                <w:rPr>
                  <w:rStyle w:val="Hyperlink"/>
                </w:rPr>
                <w:t>KSA Link</w:t>
              </w:r>
            </w:hyperlink>
          </w:p>
        </w:tc>
      </w:tr>
      <w:tr w:rsidR="001831DC" w:rsidTr="2DF049BC" w14:paraId="3CDCE4B0" w14:textId="77777777">
        <w:trPr>
          <w:trHeight w:val="317"/>
        </w:trPr>
        <w:tc>
          <w:tcPr>
            <w:tcW w:w="9285" w:type="dxa"/>
            <w:gridSpan w:val="3"/>
            <w:shd w:val="clear" w:color="auto" w:fill="D9D9D9" w:themeFill="background1" w:themeFillShade="D9"/>
            <w:tcMar/>
            <w:vAlign w:val="center"/>
          </w:tcPr>
          <w:p w:rsidRPr="00C256E9" w:rsidR="001831DC" w:rsidP="001831DC" w:rsidRDefault="001831DC" w14:paraId="309AC74F" w14:textId="77777777">
            <w:pPr>
              <w:rPr>
                <w:b/>
              </w:rPr>
            </w:pPr>
            <w:r w:rsidRPr="00C256E9">
              <w:rPr>
                <w:b/>
              </w:rPr>
              <w:t>OPERATIONS</w:t>
            </w:r>
          </w:p>
        </w:tc>
      </w:tr>
      <w:tr w:rsidR="005C0ECD" w:rsidTr="2DF049BC" w14:paraId="7A91A447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5C0ECD" w:rsidP="005C0ECD" w:rsidRDefault="005C0ECD" w14:paraId="013DF641" w14:textId="77777777">
            <w:pPr>
              <w:rPr>
                <w:sz w:val="20"/>
              </w:rPr>
            </w:pPr>
            <w:r w:rsidRPr="00C256E9">
              <w:rPr>
                <w:sz w:val="20"/>
              </w:rPr>
              <w:t>Rescue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05B88C02" w14:paraId="411CC593" w14:textId="66BFEE88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05B88C0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07D46775" w14:textId="52941BD2">
            <w:pPr>
              <w:jc w:val="center"/>
            </w:pPr>
            <w:hyperlink w:history="1" r:id="rId22">
              <w:r w:rsidRPr="00BC6690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1E3B291E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5C0ECD" w:rsidP="005C0ECD" w:rsidRDefault="005C0ECD" w14:paraId="40584183" w14:textId="77777777">
            <w:pPr>
              <w:rPr>
                <w:sz w:val="20"/>
              </w:rPr>
            </w:pPr>
            <w:r w:rsidRPr="00C256E9">
              <w:rPr>
                <w:sz w:val="20"/>
              </w:rPr>
              <w:t>Search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4159B69F" w14:paraId="14D61309" w14:textId="78695F75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4159B69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73A50EF1" w14:textId="16FC19B7">
            <w:pPr>
              <w:jc w:val="center"/>
            </w:pPr>
            <w:hyperlink w:history="1" r:id="rId23">
              <w:r w:rsidRPr="00BC6690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67311024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5C0ECD" w:rsidP="005C0ECD" w:rsidRDefault="005C0ECD" w14:paraId="5EA51739" w14:textId="77777777">
            <w:pPr>
              <w:rPr>
                <w:sz w:val="20"/>
              </w:rPr>
            </w:pPr>
            <w:r w:rsidRPr="00C256E9">
              <w:rPr>
                <w:sz w:val="20"/>
              </w:rPr>
              <w:t>Hazmat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55D48AAA" w14:paraId="7E78CFCD" w14:textId="7A8D82F9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55D48AAA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7BC8F377" w14:textId="60732D76">
            <w:pPr>
              <w:jc w:val="center"/>
            </w:pPr>
            <w:hyperlink w:history="1" r:id="rId24">
              <w:r w:rsidRPr="00BC6690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137F8602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5C0ECD" w:rsidP="005C0ECD" w:rsidRDefault="005C0ECD" w14:paraId="60453547" w14:textId="77777777">
            <w:pPr>
              <w:rPr>
                <w:sz w:val="20"/>
              </w:rPr>
            </w:pPr>
            <w:r w:rsidRPr="00C256E9">
              <w:rPr>
                <w:sz w:val="20"/>
              </w:rPr>
              <w:t>Canine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10B6F7F0" w14:paraId="5A19DCD4" w14:textId="6ED9D310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10B6F7F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150" w:type="dxa"/>
            <w:tcMar/>
          </w:tcPr>
          <w:p w:rsidR="005C0ECD" w:rsidP="005C0ECD" w:rsidRDefault="005C0ECD" w14:paraId="2D398A68" w14:textId="3DA3F99C">
            <w:pPr>
              <w:jc w:val="center"/>
            </w:pPr>
            <w:hyperlink r:id="Re21834deaeec4a30">
              <w:r w:rsidRPr="0A780CE2" w:rsidR="005C0ECD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470EC450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5C0ECD" w:rsidP="005C0ECD" w:rsidRDefault="005C0ECD" w14:paraId="1E44C67B" w14:textId="77777777">
            <w:pPr>
              <w:rPr>
                <w:sz w:val="20"/>
              </w:rPr>
            </w:pPr>
            <w:r w:rsidRPr="00C256E9">
              <w:rPr>
                <w:sz w:val="20"/>
              </w:rPr>
              <w:t>Structures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00DA68FB" w14:paraId="4F7F28A9" w14:textId="4355BC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 w:rsidRPr="25549690" w:rsidR="7350853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150" w:type="dxa"/>
            <w:tcMar/>
          </w:tcPr>
          <w:p w:rsidR="005C0ECD" w:rsidP="005C0ECD" w:rsidRDefault="005C0ECD" w14:paraId="5C47BC47" w14:textId="56ABA52B">
            <w:pPr>
              <w:jc w:val="center"/>
            </w:pPr>
            <w:hyperlink w:history="1" r:id="rId26">
              <w:r w:rsidRPr="00BC6690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752B5EC1" w14:textId="77777777">
        <w:trPr>
          <w:trHeight w:val="317"/>
        </w:trPr>
        <w:tc>
          <w:tcPr>
            <w:tcW w:w="5010" w:type="dxa"/>
            <w:tcMar/>
            <w:vAlign w:val="center"/>
          </w:tcPr>
          <w:p w:rsidRPr="00C256E9" w:rsidR="005C0ECD" w:rsidP="005C0ECD" w:rsidRDefault="005C0ECD" w14:paraId="1C8E06B5" w14:textId="77777777">
            <w:pPr>
              <w:rPr>
                <w:sz w:val="20"/>
              </w:rPr>
            </w:pPr>
            <w:r>
              <w:rPr>
                <w:sz w:val="20"/>
              </w:rPr>
              <w:t>Medical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43018AE5" w14:paraId="0FA418D6" w14:textId="553B2F92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43018AE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25597D5F" w14:textId="11EC581D">
            <w:pPr>
              <w:jc w:val="center"/>
            </w:pPr>
            <w:hyperlink r:id="R82cd077b26da4410">
              <w:r w:rsidRPr="0A780CE2" w:rsidR="005C0ECD">
                <w:rPr>
                  <w:rStyle w:val="Hyperlink"/>
                </w:rPr>
                <w:t>KSA Link</w:t>
              </w:r>
            </w:hyperlink>
          </w:p>
        </w:tc>
      </w:tr>
      <w:tr w:rsidR="0A780CE2" w:rsidTr="2DF049BC" w14:paraId="66E0EEFD">
        <w:trPr>
          <w:trHeight w:val="300"/>
        </w:trPr>
        <w:tc>
          <w:tcPr>
            <w:tcW w:w="5010" w:type="dxa"/>
            <w:tcMar/>
            <w:vAlign w:val="center"/>
          </w:tcPr>
          <w:p w:rsidR="0A780CE2" w:rsidP="2DF049BC" w:rsidRDefault="0A780CE2" w14:paraId="378C6D0F" w14:textId="33C2C955">
            <w:pPr>
              <w:rPr>
                <w:color w:val="auto"/>
                <w:sz w:val="20"/>
                <w:szCs w:val="20"/>
              </w:rPr>
            </w:pPr>
            <w:r w:rsidRPr="2DF049BC" w:rsidR="0A780CE2">
              <w:rPr>
                <w:color w:val="auto"/>
                <w:sz w:val="20"/>
                <w:szCs w:val="20"/>
              </w:rPr>
              <w:t>HEPP</w:t>
            </w:r>
            <w:r w:rsidRPr="2DF049BC" w:rsidR="0A780CE2">
              <w:rPr>
                <w:color w:val="auto"/>
                <w:sz w:val="20"/>
                <w:szCs w:val="20"/>
              </w:rPr>
              <w:t xml:space="preserve"> </w:t>
            </w:r>
            <w:r w:rsidRPr="2DF049BC" w:rsidR="0A780CE2">
              <w:rPr>
                <w:color w:val="auto"/>
                <w:sz w:val="20"/>
                <w:szCs w:val="20"/>
              </w:rPr>
              <w:t>Unit</w:t>
            </w:r>
          </w:p>
        </w:tc>
        <w:tc>
          <w:tcPr>
            <w:tcW w:w="1125" w:type="dxa"/>
            <w:tcMar/>
            <w:vAlign w:val="center"/>
          </w:tcPr>
          <w:p w:rsidR="0A780CE2" w:rsidP="2DF049BC" w:rsidRDefault="0A780CE2" w14:paraId="5F1DFC5C" w14:textId="5EC97AB7">
            <w:pPr>
              <w:jc w:val="center"/>
              <w:rPr>
                <w:color w:val="auto"/>
                <w:sz w:val="20"/>
                <w:szCs w:val="20"/>
              </w:rPr>
            </w:pPr>
            <w:r w:rsidRPr="2DF049BC" w:rsidR="0A780CE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150" w:type="dxa"/>
            <w:tcMar/>
          </w:tcPr>
          <w:p w:rsidR="0A780CE2" w:rsidP="0A780CE2" w:rsidRDefault="0A780CE2" w14:paraId="059F6D09" w14:textId="56B3613F">
            <w:pPr>
              <w:jc w:val="center"/>
            </w:pPr>
            <w:hyperlink r:id="R934a63a2452c4acc">
              <w:r w:rsidRPr="0A780CE2" w:rsidR="0A780CE2">
                <w:rPr>
                  <w:rStyle w:val="Hyperlink"/>
                </w:rPr>
                <w:t>KSA Link</w:t>
              </w:r>
            </w:hyperlink>
          </w:p>
        </w:tc>
      </w:tr>
      <w:tr w:rsidR="001831DC" w:rsidTr="2DF049BC" w14:paraId="56810E2C" w14:textId="77777777">
        <w:trPr>
          <w:trHeight w:val="317"/>
        </w:trPr>
        <w:tc>
          <w:tcPr>
            <w:tcW w:w="9285" w:type="dxa"/>
            <w:gridSpan w:val="3"/>
            <w:shd w:val="clear" w:color="auto" w:fill="D9D9D9" w:themeFill="background1" w:themeFillShade="D9"/>
            <w:tcMar/>
            <w:vAlign w:val="center"/>
          </w:tcPr>
          <w:p w:rsidRPr="00B10F2D" w:rsidR="001831DC" w:rsidP="25549690" w:rsidRDefault="001831DC" w14:paraId="1BDF09A0" w14:textId="662C40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5549690" w:rsidR="3C16BE3E">
              <w:rPr>
                <w:b w:val="1"/>
                <w:bCs w:val="1"/>
              </w:rPr>
              <w:t>PREPAREDNESS</w:t>
            </w:r>
          </w:p>
        </w:tc>
      </w:tr>
      <w:tr w:rsidR="005C0ECD" w:rsidTr="2DF049BC" w14:paraId="3BB74753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313428D3" w14:textId="77777777">
            <w:pPr>
              <w:rPr>
                <w:sz w:val="20"/>
              </w:rPr>
            </w:pPr>
            <w:r>
              <w:rPr>
                <w:sz w:val="20"/>
              </w:rPr>
              <w:t>Training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49AD38C5" w14:paraId="390EEC43" w14:textId="7BCEDB6D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49AD38C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0C8A965E" w14:textId="3448964A">
            <w:pPr>
              <w:jc w:val="center"/>
            </w:pPr>
            <w:hyperlink w:history="1" r:id="rId28">
              <w:r w:rsidRPr="0047361B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4843D650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2DF049BC" w:rsidRDefault="005C0ECD" w14:paraId="01381751" w14:textId="041AA939">
            <w:pPr>
              <w:rPr>
                <w:sz w:val="20"/>
                <w:szCs w:val="20"/>
              </w:rPr>
            </w:pPr>
            <w:r w:rsidRPr="2DF049BC" w:rsidR="005C0ECD">
              <w:rPr>
                <w:sz w:val="20"/>
                <w:szCs w:val="20"/>
              </w:rPr>
              <w:t xml:space="preserve">Exercise </w:t>
            </w:r>
            <w:r w:rsidRPr="2DF049BC" w:rsidR="4A2CAAEA">
              <w:rPr>
                <w:sz w:val="20"/>
                <w:szCs w:val="20"/>
              </w:rPr>
              <w:t>Unit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DF049BC" w:rsidRDefault="557A3D3D" w14:paraId="5FE341EF" w14:textId="203897A6">
            <w:pPr>
              <w:jc w:val="center"/>
              <w:rPr>
                <w:color w:val="auto"/>
                <w:sz w:val="20"/>
                <w:szCs w:val="20"/>
              </w:rPr>
            </w:pPr>
            <w:r w:rsidRPr="2DF049BC" w:rsidR="603B418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150" w:type="dxa"/>
            <w:tcMar/>
          </w:tcPr>
          <w:p w:rsidR="005C0ECD" w:rsidP="005C0ECD" w:rsidRDefault="005C0ECD" w14:paraId="2C6560EB" w14:textId="5FBA5180">
            <w:pPr>
              <w:jc w:val="center"/>
            </w:pPr>
            <w:hyperlink w:history="1" r:id="rId29">
              <w:r w:rsidRPr="0047361B">
                <w:rPr>
                  <w:rStyle w:val="Hyperlink"/>
                </w:rPr>
                <w:t>KSA Link</w:t>
              </w:r>
            </w:hyperlink>
          </w:p>
        </w:tc>
      </w:tr>
      <w:tr w:rsidR="001831DC" w:rsidTr="2DF049BC" w14:paraId="33FE9F8D" w14:textId="77777777">
        <w:trPr>
          <w:trHeight w:val="317"/>
        </w:trPr>
        <w:tc>
          <w:tcPr>
            <w:tcW w:w="9285" w:type="dxa"/>
            <w:gridSpan w:val="3"/>
            <w:shd w:val="clear" w:color="auto" w:fill="D9D9D9" w:themeFill="background1" w:themeFillShade="D9"/>
            <w:tcMar/>
            <w:vAlign w:val="center"/>
          </w:tcPr>
          <w:p w:rsidRPr="005F0A3A" w:rsidR="001831DC" w:rsidP="001831DC" w:rsidRDefault="001831DC" w14:paraId="273EEC5E" w14:textId="77777777">
            <w:pPr>
              <w:rPr>
                <w:b/>
              </w:rPr>
            </w:pPr>
            <w:r w:rsidRPr="005F0A3A">
              <w:rPr>
                <w:b/>
              </w:rPr>
              <w:t>LOGISTICS</w:t>
            </w:r>
          </w:p>
        </w:tc>
      </w:tr>
      <w:tr w:rsidR="005C0ECD" w:rsidTr="2DF049BC" w14:paraId="7445DC24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4A3BB00D" w14:textId="77777777">
            <w:pPr>
              <w:rPr>
                <w:sz w:val="20"/>
              </w:rPr>
            </w:pPr>
            <w:r>
              <w:rPr>
                <w:sz w:val="20"/>
              </w:rPr>
              <w:t>Equipment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5F7B30E6" w14:paraId="6EDDB5AA" w14:textId="6117F9A2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5F7B30E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4A8F3DE2" w14:textId="00276094">
            <w:pPr>
              <w:jc w:val="center"/>
            </w:pPr>
            <w:hyperlink w:history="1" r:id="rId30">
              <w:r w:rsidRPr="008A3CAC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0DD8E69F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371B5780" w14:textId="77777777">
            <w:pPr>
              <w:rPr>
                <w:sz w:val="20"/>
              </w:rPr>
            </w:pPr>
            <w:r>
              <w:rPr>
                <w:sz w:val="20"/>
              </w:rPr>
              <w:t>Transportation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1911A3D2" w14:paraId="2EF89E3F" w14:textId="1FA93EAA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1911A3D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150" w:type="dxa"/>
            <w:tcMar/>
          </w:tcPr>
          <w:p w:rsidR="005C0ECD" w:rsidP="005C0ECD" w:rsidRDefault="005C0ECD" w14:paraId="12DB9B13" w14:textId="01B0BF72">
            <w:pPr>
              <w:jc w:val="center"/>
            </w:pPr>
            <w:hyperlink w:history="1" r:id="rId31">
              <w:r w:rsidRPr="008A3CAC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4581A163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55141683" w14:textId="77777777">
            <w:pPr>
              <w:rPr>
                <w:sz w:val="20"/>
              </w:rPr>
            </w:pPr>
            <w:r>
              <w:rPr>
                <w:sz w:val="20"/>
              </w:rPr>
              <w:t>Communications Subgroup</w:t>
            </w:r>
          </w:p>
        </w:tc>
        <w:tc>
          <w:tcPr>
            <w:tcW w:w="1125" w:type="dxa"/>
            <w:tcMar/>
            <w:vAlign w:val="center"/>
          </w:tcPr>
          <w:p w:rsidRPr="00DD374C" w:rsidR="005C0ECD" w:rsidP="25549690" w:rsidRDefault="4C20732D" w14:paraId="7EB074A1" w14:textId="49E8ED00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4C20732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52774AE9" w14:textId="74AD3C4C">
            <w:pPr>
              <w:jc w:val="center"/>
            </w:pPr>
            <w:hyperlink w:history="1" r:id="rId32">
              <w:r w:rsidRPr="008A3CAC">
                <w:rPr>
                  <w:rStyle w:val="Hyperlink"/>
                </w:rPr>
                <w:t>KSA Link</w:t>
              </w:r>
            </w:hyperlink>
          </w:p>
        </w:tc>
      </w:tr>
      <w:tr w:rsidR="001831DC" w:rsidTr="2DF049BC" w14:paraId="7859AFAA" w14:textId="77777777">
        <w:trPr>
          <w:trHeight w:val="317"/>
        </w:trPr>
        <w:tc>
          <w:tcPr>
            <w:tcW w:w="9285" w:type="dxa"/>
            <w:gridSpan w:val="3"/>
            <w:shd w:val="clear" w:color="auto" w:fill="D9D9D9" w:themeFill="background1" w:themeFillShade="D9"/>
            <w:tcMar/>
            <w:vAlign w:val="center"/>
          </w:tcPr>
          <w:p w:rsidRPr="008E0B40" w:rsidR="001831DC" w:rsidP="001831DC" w:rsidRDefault="001831DC" w14:paraId="19193D84" w14:textId="77777777">
            <w:pPr>
              <w:rPr>
                <w:b/>
              </w:rPr>
            </w:pPr>
            <w:r w:rsidRPr="008E0B40">
              <w:rPr>
                <w:b/>
              </w:rPr>
              <w:lastRenderedPageBreak/>
              <w:t>FINANCE / ADMINISTRATION</w:t>
            </w:r>
          </w:p>
        </w:tc>
      </w:tr>
      <w:tr w:rsidR="005C0ECD" w:rsidTr="2DF049BC" w14:paraId="69AA0000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23B50E3C" w14:textId="77777777">
            <w:pPr>
              <w:rPr>
                <w:sz w:val="20"/>
              </w:rPr>
            </w:pPr>
            <w:r>
              <w:rPr>
                <w:sz w:val="20"/>
              </w:rPr>
              <w:t>Finance Subgroup</w:t>
            </w:r>
          </w:p>
        </w:tc>
        <w:tc>
          <w:tcPr>
            <w:tcW w:w="1125" w:type="dxa"/>
            <w:tcMar/>
            <w:vAlign w:val="center"/>
          </w:tcPr>
          <w:p w:rsidR="005C0ECD" w:rsidP="25549690" w:rsidRDefault="2598089F" w14:paraId="73EFE8D6" w14:textId="252BEA47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2598089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150" w:type="dxa"/>
            <w:tcMar/>
          </w:tcPr>
          <w:p w:rsidR="005C0ECD" w:rsidP="005C0ECD" w:rsidRDefault="005C0ECD" w14:paraId="55C4602A" w14:textId="45B02724">
            <w:pPr>
              <w:jc w:val="center"/>
            </w:pPr>
            <w:hyperlink w:history="1" r:id="rId35">
              <w:r w:rsidRPr="00002822">
                <w:rPr>
                  <w:rStyle w:val="Hyperlink"/>
                </w:rPr>
                <w:t>KSA Link</w:t>
              </w:r>
            </w:hyperlink>
          </w:p>
        </w:tc>
      </w:tr>
      <w:tr w:rsidR="005C0ECD" w:rsidTr="2DF049BC" w14:paraId="11165205" w14:textId="77777777">
        <w:trPr>
          <w:trHeight w:val="317"/>
        </w:trPr>
        <w:tc>
          <w:tcPr>
            <w:tcW w:w="5010" w:type="dxa"/>
            <w:tcMar/>
            <w:vAlign w:val="center"/>
          </w:tcPr>
          <w:p w:rsidR="005C0ECD" w:rsidP="005C0ECD" w:rsidRDefault="005C0ECD" w14:paraId="39CEEA8C" w14:textId="33ECAC07">
            <w:pPr>
              <w:rPr>
                <w:sz w:val="20"/>
              </w:rPr>
            </w:pPr>
            <w:r>
              <w:rPr>
                <w:sz w:val="20"/>
              </w:rPr>
              <w:t>Management and AAR</w:t>
            </w:r>
          </w:p>
        </w:tc>
        <w:tc>
          <w:tcPr>
            <w:tcW w:w="1125" w:type="dxa"/>
            <w:tcMar/>
            <w:vAlign w:val="center"/>
          </w:tcPr>
          <w:p w:rsidR="005C0ECD" w:rsidP="25549690" w:rsidRDefault="2DA10BF2" w14:paraId="5208E1F0" w14:textId="5F7A563A">
            <w:pPr>
              <w:jc w:val="center"/>
              <w:rPr>
                <w:color w:val="auto"/>
                <w:sz w:val="20"/>
                <w:szCs w:val="20"/>
              </w:rPr>
            </w:pPr>
            <w:r w:rsidRPr="25549690" w:rsidR="2DA10BF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50" w:type="dxa"/>
            <w:tcMar/>
          </w:tcPr>
          <w:p w:rsidR="005C0ECD" w:rsidP="005C0ECD" w:rsidRDefault="005C0ECD" w14:paraId="39D08F4D" w14:textId="11DA7A8E">
            <w:pPr>
              <w:jc w:val="center"/>
            </w:pPr>
            <w:hyperlink w:history="1" r:id="rId36">
              <w:r w:rsidRPr="00002822">
                <w:rPr>
                  <w:rStyle w:val="Hyperlink"/>
                </w:rPr>
                <w:t>KSA Link</w:t>
              </w:r>
            </w:hyperlink>
          </w:p>
        </w:tc>
      </w:tr>
    </w:tbl>
    <w:p w:rsidRPr="00E578A4" w:rsidR="00C256E9" w:rsidRDefault="00DF563B" w14:paraId="58153DD2" w14:textId="6712574B">
      <w:pPr>
        <w:rPr>
          <w:sz w:val="18"/>
          <w:szCs w:val="18"/>
        </w:rPr>
      </w:pPr>
      <w:r w:rsidRPr="00E578A4">
        <w:rPr>
          <w:sz w:val="18"/>
          <w:szCs w:val="18"/>
        </w:rPr>
        <w:t>*</w:t>
      </w:r>
      <w:r w:rsidRPr="00E578A4" w:rsidR="00E578A4">
        <w:rPr>
          <w:sz w:val="18"/>
          <w:szCs w:val="18"/>
        </w:rPr>
        <w:t>Vacancy span indicates possible movement of members from existing ad hoc to standing subgroup.</w:t>
      </w:r>
    </w:p>
    <w:p w:rsidR="00DF563B" w:rsidRDefault="00DF563B" w14:paraId="3D9B65FC" w14:textId="0DA45728"/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160"/>
        <w:gridCol w:w="8190"/>
      </w:tblGrid>
      <w:tr w:rsidR="00DF563B" w:rsidTr="54B8B1E9" w14:paraId="2C6A5070" w14:textId="77777777">
        <w:trPr>
          <w:trHeight w:val="467"/>
        </w:trPr>
        <w:tc>
          <w:tcPr>
            <w:tcW w:w="2160" w:type="dxa"/>
            <w:shd w:val="clear" w:color="auto" w:fill="B4C6E7" w:themeFill="accent1" w:themeFillTint="66"/>
            <w:tcMar/>
            <w:vAlign w:val="center"/>
          </w:tcPr>
          <w:p w:rsidRPr="008F6F3C" w:rsidR="00DF563B" w:rsidP="007A1B69" w:rsidRDefault="00DF563B" w14:paraId="2AC094D0" w14:textId="77777777">
            <w:pPr>
              <w:pStyle w:val="NoSpacing1"/>
              <w:rPr>
                <w:b/>
                <w:bCs/>
              </w:rPr>
            </w:pPr>
            <w:r w:rsidRPr="008F6F3C">
              <w:rPr>
                <w:b/>
                <w:bCs/>
              </w:rPr>
              <w:t>Subgroup Name</w:t>
            </w:r>
          </w:p>
        </w:tc>
        <w:tc>
          <w:tcPr>
            <w:tcW w:w="8190" w:type="dxa"/>
            <w:shd w:val="clear" w:color="auto" w:fill="B4C6E7" w:themeFill="accent1" w:themeFillTint="66"/>
            <w:tcMar/>
            <w:vAlign w:val="center"/>
          </w:tcPr>
          <w:p w:rsidRPr="008F6F3C" w:rsidR="00DF563B" w:rsidP="007A1B69" w:rsidRDefault="00DF563B" w14:paraId="3919C368" w14:textId="77777777">
            <w:pPr>
              <w:pStyle w:val="NoSpacing1"/>
              <w:rPr>
                <w:b/>
                <w:bCs/>
              </w:rPr>
            </w:pPr>
            <w:r w:rsidRPr="008F6F3C">
              <w:rPr>
                <w:b/>
                <w:bCs/>
              </w:rPr>
              <w:t>Subgroup Core Competencies</w:t>
            </w:r>
          </w:p>
        </w:tc>
      </w:tr>
      <w:tr w:rsidR="00DF563B" w:rsidTr="54B8B1E9" w14:paraId="730256F2" w14:textId="77777777">
        <w:trPr>
          <w:trHeight w:val="467"/>
        </w:trPr>
        <w:tc>
          <w:tcPr>
            <w:tcW w:w="2160" w:type="dxa"/>
            <w:tcMar/>
            <w:vAlign w:val="center"/>
          </w:tcPr>
          <w:p w:rsidRPr="001307FD" w:rsidR="00DF563B" w:rsidP="007A1B69" w:rsidRDefault="00DF563B" w14:paraId="059CA27F" w14:textId="77777777">
            <w:pPr>
              <w:pStyle w:val="NoSpacing1"/>
              <w:jc w:val="right"/>
            </w:pPr>
            <w:r>
              <w:t>Rescue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65129263" w14:textId="77777777">
            <w:pPr>
              <w:pStyle w:val="NoSpacing1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5602F3">
              <w:rPr>
                <w:color w:val="000000" w:themeColor="text1"/>
              </w:rPr>
              <w:t>Rescue 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</w:t>
            </w:r>
          </w:p>
          <w:p w:rsidRPr="005602F3" w:rsidR="00DF563B" w:rsidP="00DF563B" w:rsidRDefault="00DF563B" w14:paraId="1486DF45" w14:textId="77777777">
            <w:pPr>
              <w:pStyle w:val="NoSpacing1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5602F3">
              <w:rPr>
                <w:color w:val="000000" w:themeColor="text1"/>
              </w:rPr>
              <w:t xml:space="preserve">Rescue Equipment </w:t>
            </w:r>
            <w:r>
              <w:rPr>
                <w:color w:val="000000" w:themeColor="text1"/>
              </w:rPr>
              <w:t>Cache</w:t>
            </w:r>
          </w:p>
          <w:p w:rsidRPr="001307FD" w:rsidR="00DF563B" w:rsidP="00DF563B" w:rsidRDefault="00DF563B" w14:paraId="153024D9" w14:textId="77777777">
            <w:pPr>
              <w:pStyle w:val="NoSpacing1"/>
              <w:numPr>
                <w:ilvl w:val="0"/>
                <w:numId w:val="1"/>
              </w:numPr>
            </w:pPr>
            <w:r w:rsidRPr="005602F3">
              <w:rPr>
                <w:color w:val="000000" w:themeColor="text1"/>
              </w:rPr>
              <w:t xml:space="preserve">Structural Collapse and HERS </w:t>
            </w:r>
            <w:r>
              <w:rPr>
                <w:color w:val="000000" w:themeColor="text1"/>
              </w:rPr>
              <w:t xml:space="preserve">doctrine and </w:t>
            </w:r>
            <w:r w:rsidRPr="004C5043">
              <w:rPr>
                <w:color w:val="000000" w:themeColor="text1"/>
              </w:rPr>
              <w:t xml:space="preserve">curriculum  </w:t>
            </w:r>
          </w:p>
        </w:tc>
      </w:tr>
      <w:tr w:rsidR="00DF563B" w:rsidTr="54B8B1E9" w14:paraId="1BF77A9A" w14:textId="77777777">
        <w:trPr>
          <w:trHeight w:val="467"/>
        </w:trPr>
        <w:tc>
          <w:tcPr>
            <w:tcW w:w="2160" w:type="dxa"/>
            <w:tcMar/>
            <w:vAlign w:val="center"/>
          </w:tcPr>
          <w:p w:rsidRPr="001307FD" w:rsidR="00DF563B" w:rsidP="007A1B69" w:rsidRDefault="00DF563B" w14:paraId="3BCE7202" w14:textId="77777777">
            <w:pPr>
              <w:pStyle w:val="NoSpacing1"/>
              <w:jc w:val="right"/>
            </w:pPr>
            <w:r>
              <w:t>Search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79F8865F" w14:textId="77777777">
            <w:pPr>
              <w:pStyle w:val="NoSpacing1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Search</w:t>
            </w:r>
            <w:r w:rsidRPr="005602F3">
              <w:rPr>
                <w:color w:val="000000" w:themeColor="text1"/>
              </w:rPr>
              <w:t xml:space="preserve"> 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</w:t>
            </w:r>
          </w:p>
          <w:p w:rsidRPr="005602F3" w:rsidR="00DF563B" w:rsidP="00DF563B" w:rsidRDefault="00DF563B" w14:paraId="4E47EDEF" w14:textId="77777777">
            <w:pPr>
              <w:pStyle w:val="NoSpacing1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Search</w:t>
            </w:r>
            <w:r w:rsidRPr="005602F3">
              <w:rPr>
                <w:color w:val="000000" w:themeColor="text1"/>
              </w:rPr>
              <w:t xml:space="preserve"> Equipment </w:t>
            </w:r>
            <w:r>
              <w:rPr>
                <w:color w:val="000000" w:themeColor="text1"/>
              </w:rPr>
              <w:t>Cache</w:t>
            </w:r>
          </w:p>
          <w:p w:rsidRPr="001307FD" w:rsidR="00DF563B" w:rsidP="00DF563B" w:rsidRDefault="00DF563B" w14:paraId="387FDABE" w14:textId="77777777">
            <w:pPr>
              <w:pStyle w:val="NoSpacing1"/>
              <w:numPr>
                <w:ilvl w:val="0"/>
                <w:numId w:val="2"/>
              </w:numPr>
            </w:pPr>
            <w:r>
              <w:rPr>
                <w:color w:val="000000" w:themeColor="text1"/>
              </w:rPr>
              <w:t>Technical Search</w:t>
            </w:r>
            <w:r w:rsidRPr="005602F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doctrine and </w:t>
            </w:r>
            <w:r w:rsidRPr="004C5043">
              <w:rPr>
                <w:color w:val="000000" w:themeColor="text1"/>
              </w:rPr>
              <w:t xml:space="preserve">curriculum  </w:t>
            </w:r>
          </w:p>
        </w:tc>
      </w:tr>
      <w:tr w:rsidR="00DF563B" w:rsidTr="54B8B1E9" w14:paraId="35BB3A76" w14:textId="77777777">
        <w:trPr>
          <w:trHeight w:val="449"/>
        </w:trPr>
        <w:tc>
          <w:tcPr>
            <w:tcW w:w="2160" w:type="dxa"/>
            <w:tcMar/>
            <w:vAlign w:val="center"/>
          </w:tcPr>
          <w:p w:rsidRPr="001307FD" w:rsidR="00DF563B" w:rsidP="007A1B69" w:rsidRDefault="00DF563B" w14:paraId="002715AE" w14:textId="77777777">
            <w:pPr>
              <w:pStyle w:val="NoSpacing1"/>
              <w:jc w:val="right"/>
            </w:pPr>
            <w:r>
              <w:t>Hazardous Materials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76775C5F" w14:textId="77777777">
            <w:pPr>
              <w:pStyle w:val="NoSpacing1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HazMat and CBRNE Response </w:t>
            </w:r>
            <w:r w:rsidRPr="005602F3">
              <w:rPr>
                <w:color w:val="000000" w:themeColor="text1"/>
              </w:rPr>
              <w:t>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</w:t>
            </w:r>
          </w:p>
          <w:p w:rsidR="00DF563B" w:rsidP="00DF563B" w:rsidRDefault="00DF563B" w14:paraId="5C1F9023" w14:textId="77777777">
            <w:pPr>
              <w:pStyle w:val="NoSpacing1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HazMat and CBRNE </w:t>
            </w:r>
            <w:r w:rsidRPr="005602F3">
              <w:rPr>
                <w:color w:val="000000" w:themeColor="text1"/>
              </w:rPr>
              <w:t xml:space="preserve">Equipment </w:t>
            </w:r>
            <w:r>
              <w:rPr>
                <w:color w:val="000000" w:themeColor="text1"/>
              </w:rPr>
              <w:t>Cache</w:t>
            </w:r>
          </w:p>
          <w:p w:rsidRPr="004C5043" w:rsidR="00DF563B" w:rsidP="00DF563B" w:rsidRDefault="00DF563B" w14:paraId="41E97F08" w14:textId="77777777">
            <w:pPr>
              <w:pStyle w:val="NoSpacing1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HazMat Specialist and EOCE doctrine and </w:t>
            </w:r>
            <w:r w:rsidRPr="004C5043">
              <w:rPr>
                <w:color w:val="000000" w:themeColor="text1"/>
              </w:rPr>
              <w:t xml:space="preserve">curriculum  </w:t>
            </w:r>
          </w:p>
        </w:tc>
      </w:tr>
      <w:tr w:rsidR="00DF563B" w:rsidTr="54B8B1E9" w14:paraId="76A8CC72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07A1B69" w:rsidRDefault="00DF563B" w14:paraId="6ABE9190" w14:textId="77777777">
            <w:pPr>
              <w:pStyle w:val="NoSpacing1"/>
              <w:jc w:val="right"/>
            </w:pPr>
            <w:r>
              <w:t>Structures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2BE33334" w14:textId="77777777">
            <w:pPr>
              <w:pStyle w:val="NoSpacing1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Structures Specialist </w:t>
            </w:r>
            <w:r w:rsidRPr="005602F3">
              <w:rPr>
                <w:color w:val="000000" w:themeColor="text1"/>
              </w:rPr>
              <w:t>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</w:t>
            </w:r>
          </w:p>
          <w:p w:rsidR="00DF563B" w:rsidP="00DF563B" w:rsidRDefault="00DF563B" w14:paraId="46302F53" w14:textId="77777777">
            <w:pPr>
              <w:pStyle w:val="NoSpacing1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Structures Specialist </w:t>
            </w:r>
            <w:r w:rsidRPr="005602F3">
              <w:rPr>
                <w:color w:val="000000" w:themeColor="text1"/>
              </w:rPr>
              <w:t xml:space="preserve">Equipment </w:t>
            </w:r>
            <w:r>
              <w:rPr>
                <w:color w:val="000000" w:themeColor="text1"/>
              </w:rPr>
              <w:t xml:space="preserve">Cache </w:t>
            </w:r>
          </w:p>
          <w:p w:rsidRPr="006026C5" w:rsidR="00DF563B" w:rsidP="00DF563B" w:rsidRDefault="00DF563B" w14:paraId="41947066" w14:textId="77777777">
            <w:pPr>
              <w:pStyle w:val="NoSpacing1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6026C5">
              <w:rPr>
                <w:color w:val="000000" w:themeColor="text1"/>
              </w:rPr>
              <w:t>Structur</w:t>
            </w:r>
            <w:r>
              <w:rPr>
                <w:color w:val="000000" w:themeColor="text1"/>
              </w:rPr>
              <w:t xml:space="preserve">es Specialist </w:t>
            </w:r>
            <w:r w:rsidRPr="006026C5">
              <w:rPr>
                <w:color w:val="000000" w:themeColor="text1"/>
              </w:rPr>
              <w:t xml:space="preserve">doctrine and curriculum  </w:t>
            </w:r>
          </w:p>
        </w:tc>
      </w:tr>
      <w:tr w:rsidR="00DF563B" w:rsidTr="54B8B1E9" w14:paraId="5CD2E521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07A1B69" w:rsidRDefault="00DF563B" w14:paraId="44B837FC" w14:textId="77777777">
            <w:pPr>
              <w:pStyle w:val="NoSpacing1"/>
              <w:jc w:val="right"/>
            </w:pPr>
            <w:r>
              <w:t>Canine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6A48A113" w14:textId="77777777">
            <w:pPr>
              <w:pStyle w:val="NoSpacing1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Canine Search </w:t>
            </w:r>
            <w:r w:rsidRPr="005602F3">
              <w:rPr>
                <w:color w:val="000000" w:themeColor="text1"/>
              </w:rPr>
              <w:t>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</w:t>
            </w:r>
          </w:p>
          <w:p w:rsidR="00DF563B" w:rsidP="00DF563B" w:rsidRDefault="00DF563B" w14:paraId="7F5850A2" w14:textId="77777777">
            <w:pPr>
              <w:pStyle w:val="NoSpacing1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Canine Certification Evaluations </w:t>
            </w:r>
          </w:p>
          <w:p w:rsidRPr="009B0637" w:rsidR="00DF563B" w:rsidP="00DF563B" w:rsidRDefault="00DF563B" w14:paraId="7A1A44EB" w14:textId="77777777">
            <w:pPr>
              <w:pStyle w:val="NoSpacing1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Canine Search </w:t>
            </w:r>
            <w:r w:rsidRPr="009B0637">
              <w:rPr>
                <w:color w:val="000000" w:themeColor="text1"/>
              </w:rPr>
              <w:t xml:space="preserve">doctrine and curriculum  </w:t>
            </w:r>
          </w:p>
        </w:tc>
      </w:tr>
      <w:tr w:rsidR="00DF563B" w:rsidTr="54B8B1E9" w14:paraId="56D05D82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07A1B69" w:rsidRDefault="00DF563B" w14:paraId="21AD0346" w14:textId="77777777">
            <w:pPr>
              <w:pStyle w:val="NoSpacing1"/>
              <w:jc w:val="right"/>
            </w:pPr>
            <w:r>
              <w:t>Medical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05635792" w14:textId="77777777">
            <w:pPr>
              <w:pStyle w:val="NoSpacing1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Medical </w:t>
            </w:r>
            <w:r w:rsidRPr="005602F3">
              <w:rPr>
                <w:color w:val="000000" w:themeColor="text1"/>
              </w:rPr>
              <w:t>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 of Care</w:t>
            </w:r>
          </w:p>
          <w:p w:rsidR="00DF563B" w:rsidP="00DF563B" w:rsidRDefault="00DF563B" w14:paraId="4F2325EC" w14:textId="77777777">
            <w:pPr>
              <w:pStyle w:val="NoSpacing1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Medical Equipment and Drug Cache</w:t>
            </w:r>
          </w:p>
          <w:p w:rsidRPr="008946A8" w:rsidR="00DF563B" w:rsidP="00DF563B" w:rsidRDefault="00DF563B" w14:paraId="1272BD2F" w14:textId="77777777">
            <w:pPr>
              <w:pStyle w:val="NoSpacing1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Medical </w:t>
            </w:r>
            <w:r w:rsidRPr="008946A8">
              <w:rPr>
                <w:color w:val="000000" w:themeColor="text1"/>
              </w:rPr>
              <w:t xml:space="preserve">doctrine and curriculum  </w:t>
            </w:r>
          </w:p>
        </w:tc>
      </w:tr>
      <w:tr w:rsidR="00DF563B" w:rsidTr="54B8B1E9" w14:paraId="11A65914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07A1B69" w:rsidRDefault="00DF563B" w14:paraId="12A02F3A" w14:textId="77777777">
            <w:pPr>
              <w:pStyle w:val="NoSpacing1"/>
              <w:jc w:val="right"/>
            </w:pPr>
            <w:r>
              <w:t>Equipment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2640863C" w14:textId="77777777">
            <w:pPr>
              <w:pStyle w:val="NoSpacing1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Revision of Equipment Cache Lists</w:t>
            </w:r>
          </w:p>
          <w:p w:rsidR="00DF563B" w:rsidP="00DF563B" w:rsidRDefault="00DF563B" w14:paraId="146A6E30" w14:textId="3CA32941">
            <w:pPr>
              <w:pStyle w:val="NoSpacing1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Coordinate with Subgroups having Cache </w:t>
            </w:r>
            <w:r w:rsidR="00A21B59">
              <w:rPr>
                <w:color w:val="000000" w:themeColor="text1"/>
              </w:rPr>
              <w:t>responsibilities.</w:t>
            </w:r>
            <w:r>
              <w:rPr>
                <w:color w:val="000000" w:themeColor="text1"/>
              </w:rPr>
              <w:t xml:space="preserve"> </w:t>
            </w:r>
          </w:p>
          <w:p w:rsidRPr="00106069" w:rsidR="00DF563B" w:rsidP="00DF563B" w:rsidRDefault="00DF563B" w14:paraId="5211D85D" w14:textId="77777777">
            <w:pPr>
              <w:pStyle w:val="NoSpacing1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Standardization of Equipment </w:t>
            </w:r>
            <w:r w:rsidRPr="00106069">
              <w:rPr>
                <w:color w:val="000000" w:themeColor="text1"/>
              </w:rPr>
              <w:t xml:space="preserve"> </w:t>
            </w:r>
          </w:p>
        </w:tc>
      </w:tr>
      <w:tr w:rsidR="00DF563B" w:rsidTr="54B8B1E9" w14:paraId="0C4003D9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07A1B69" w:rsidRDefault="00DF563B" w14:paraId="35B42052" w14:textId="77777777">
            <w:pPr>
              <w:pStyle w:val="NoSpacing1"/>
              <w:jc w:val="right"/>
            </w:pPr>
            <w:r>
              <w:t>Transportation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5A48AB46" w14:textId="77777777">
            <w:pPr>
              <w:pStyle w:val="NoSpacing1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Standardization of Cache Movement </w:t>
            </w:r>
          </w:p>
          <w:p w:rsidR="00DF563B" w:rsidP="00DF563B" w:rsidRDefault="00DF563B" w14:paraId="30DF9331" w14:textId="77777777">
            <w:pPr>
              <w:pStyle w:val="NoSpacing1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Transportation Procedures and Standards </w:t>
            </w:r>
          </w:p>
          <w:p w:rsidRPr="009362AF" w:rsidR="00DF563B" w:rsidP="00DF563B" w:rsidRDefault="00DF563B" w14:paraId="0C1E94D2" w14:textId="77777777">
            <w:pPr>
              <w:pStyle w:val="NoSpacing1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Recommendations for Vehicle and Trailer Maintenance </w:t>
            </w:r>
            <w:r w:rsidRPr="009362AF">
              <w:rPr>
                <w:color w:val="000000" w:themeColor="text1"/>
              </w:rPr>
              <w:t xml:space="preserve">  </w:t>
            </w:r>
          </w:p>
        </w:tc>
      </w:tr>
      <w:tr w:rsidR="00DF563B" w:rsidTr="54B8B1E9" w14:paraId="2EE6E863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07A1B69" w:rsidRDefault="00DF563B" w14:paraId="0EE06138" w14:textId="77777777">
            <w:pPr>
              <w:pStyle w:val="NoSpacing1"/>
              <w:jc w:val="right"/>
            </w:pPr>
            <w:r>
              <w:t>Communications</w:t>
            </w:r>
          </w:p>
        </w:tc>
        <w:tc>
          <w:tcPr>
            <w:tcW w:w="8190" w:type="dxa"/>
            <w:tcMar/>
            <w:vAlign w:val="center"/>
          </w:tcPr>
          <w:p w:rsidRPr="005602F3" w:rsidR="00DF563B" w:rsidP="00DF563B" w:rsidRDefault="00DF563B" w14:paraId="50FE5C76" w14:textId="77777777">
            <w:pPr>
              <w:pStyle w:val="NoSpacing1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Communication and Networking </w:t>
            </w:r>
            <w:r w:rsidRPr="005602F3">
              <w:rPr>
                <w:color w:val="000000" w:themeColor="text1"/>
              </w:rPr>
              <w:t>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</w:t>
            </w:r>
          </w:p>
          <w:p w:rsidR="00DF563B" w:rsidP="00DF563B" w:rsidRDefault="00DF563B" w14:paraId="492E00C5" w14:textId="77777777">
            <w:pPr>
              <w:pStyle w:val="NoSpacing1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Communication</w:t>
            </w:r>
            <w:r w:rsidRPr="005602F3">
              <w:rPr>
                <w:color w:val="000000" w:themeColor="text1"/>
              </w:rPr>
              <w:t xml:space="preserve"> Equipment </w:t>
            </w:r>
            <w:r>
              <w:rPr>
                <w:color w:val="000000" w:themeColor="text1"/>
              </w:rPr>
              <w:t xml:space="preserve">Cache </w:t>
            </w:r>
          </w:p>
          <w:p w:rsidRPr="00004D13" w:rsidR="00DF563B" w:rsidP="00DF563B" w:rsidRDefault="00DF563B" w14:paraId="04E0609C" w14:textId="77777777">
            <w:pPr>
              <w:pStyle w:val="NoSpacing1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Communication</w:t>
            </w:r>
            <w:r w:rsidRPr="00004D13">
              <w:rPr>
                <w:color w:val="000000" w:themeColor="text1"/>
              </w:rPr>
              <w:t xml:space="preserve"> doctrine and curriculum  </w:t>
            </w:r>
          </w:p>
        </w:tc>
      </w:tr>
      <w:tr w:rsidR="00DF563B" w:rsidTr="54B8B1E9" w14:paraId="38B51D5D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A780CE2" w:rsidRDefault="00DF563B" w14:paraId="1597BBBF" w14:textId="77777777">
            <w:pPr>
              <w:pStyle w:val="NoSpacing1"/>
              <w:jc w:val="right"/>
            </w:pPr>
            <w:r w:rsidR="00DF563B">
              <w:rPr/>
              <w:t>HEPP Cache</w:t>
            </w:r>
          </w:p>
        </w:tc>
        <w:tc>
          <w:tcPr>
            <w:tcW w:w="8190" w:type="dxa"/>
            <w:tcMar/>
            <w:vAlign w:val="center"/>
          </w:tcPr>
          <w:p w:rsidRPr="009C4E62" w:rsidR="00DF563B" w:rsidP="00DF563B" w:rsidRDefault="00DF563B" w14:paraId="790A51BE" w14:textId="77777777">
            <w:pPr>
              <w:pStyle w:val="NoSpacing1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Revision of HEPP Equipment Cache List</w:t>
            </w:r>
          </w:p>
          <w:p w:rsidRPr="009C4E62" w:rsidR="00DF563B" w:rsidP="00DF563B" w:rsidRDefault="00DF563B" w14:paraId="1BEEF18B" w14:textId="77777777">
            <w:pPr>
              <w:pStyle w:val="NoSpacing1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 xml:space="preserve">Standardization of HEPP Equipment  </w:t>
            </w:r>
          </w:p>
        </w:tc>
      </w:tr>
      <w:tr w:rsidR="00DF563B" w:rsidTr="54B8B1E9" w14:paraId="7F62810B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07A1B69" w:rsidRDefault="00DF563B" w14:paraId="173457A6" w14:textId="77777777">
            <w:pPr>
              <w:pStyle w:val="NoSpacing1"/>
              <w:jc w:val="right"/>
            </w:pPr>
            <w:r>
              <w:t>Finance</w:t>
            </w:r>
          </w:p>
        </w:tc>
        <w:tc>
          <w:tcPr>
            <w:tcW w:w="8190" w:type="dxa"/>
            <w:tcMar/>
            <w:vAlign w:val="center"/>
          </w:tcPr>
          <w:p w:rsidRPr="009C4E62" w:rsidR="00DF563B" w:rsidP="00DF563B" w:rsidRDefault="00DF563B" w14:paraId="4E132D22" w14:textId="77777777">
            <w:pPr>
              <w:pStyle w:val="NoSpacing1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 xml:space="preserve">Review and update System Preparedness Cooperative Agreement SOW </w:t>
            </w:r>
          </w:p>
          <w:p w:rsidRPr="009C4E62" w:rsidR="00DF563B" w:rsidP="00DF563B" w:rsidRDefault="00DF563B" w14:paraId="50B7432C" w14:textId="122CA488">
            <w:pPr>
              <w:pStyle w:val="NoSpacing1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 xml:space="preserve">Review and update the System financial doctrine and </w:t>
            </w:r>
            <w:r w:rsidRPr="009C4E62" w:rsidR="005D59A5">
              <w:rPr>
                <w:color w:val="000000" w:themeColor="text1"/>
              </w:rPr>
              <w:t>procedures.</w:t>
            </w:r>
            <w:r w:rsidRPr="009C4E62">
              <w:rPr>
                <w:color w:val="000000" w:themeColor="text1"/>
              </w:rPr>
              <w:t xml:space="preserve">   </w:t>
            </w:r>
          </w:p>
          <w:p w:rsidRPr="009C4E62" w:rsidR="00DF563B" w:rsidP="00DF563B" w:rsidRDefault="00DF563B" w14:paraId="2198D650" w14:textId="77777777">
            <w:pPr>
              <w:pStyle w:val="NoSpacing1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lastRenderedPageBreak/>
              <w:t xml:space="preserve">Provide assistance to Task Forces on financial doctrine and procedures   </w:t>
            </w:r>
          </w:p>
        </w:tc>
      </w:tr>
      <w:tr w:rsidR="00DF563B" w:rsidTr="54B8B1E9" w14:paraId="62D4FF43" w14:textId="77777777">
        <w:trPr>
          <w:trHeight w:val="449"/>
        </w:trPr>
        <w:tc>
          <w:tcPr>
            <w:tcW w:w="2160" w:type="dxa"/>
            <w:tcMar/>
            <w:vAlign w:val="center"/>
          </w:tcPr>
          <w:p w:rsidR="00DF563B" w:rsidP="007A1B69" w:rsidRDefault="00DF563B" w14:paraId="00FD75DE" w14:textId="77777777">
            <w:pPr>
              <w:pStyle w:val="NoSpacing1"/>
              <w:jc w:val="right"/>
            </w:pPr>
            <w:r>
              <w:lastRenderedPageBreak/>
              <w:t>Management-AAR</w:t>
            </w:r>
          </w:p>
        </w:tc>
        <w:tc>
          <w:tcPr>
            <w:tcW w:w="8190" w:type="dxa"/>
            <w:tcMar/>
            <w:vAlign w:val="center"/>
          </w:tcPr>
          <w:p w:rsidRPr="009C4E62" w:rsidR="00DF563B" w:rsidP="00DF563B" w:rsidRDefault="00DF563B" w14:paraId="169F644C" w14:textId="77777777">
            <w:pPr>
              <w:pStyle w:val="NoSpacing1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Review and update the System Readiness Assessment Program (RAP)</w:t>
            </w:r>
          </w:p>
          <w:p w:rsidRPr="009C4E62" w:rsidR="00DF563B" w:rsidP="00DF563B" w:rsidRDefault="00DF563B" w14:paraId="7BD7763F" w14:textId="0CA199F2">
            <w:pPr>
              <w:pStyle w:val="NoSpacing1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 xml:space="preserve">Train and maintain a cadre of US&amp;R System Peer Evaluators for the preparedness </w:t>
            </w:r>
            <w:r w:rsidRPr="009C4E62" w:rsidR="005D59A5">
              <w:rPr>
                <w:color w:val="000000" w:themeColor="text1"/>
              </w:rPr>
              <w:t>categories.</w:t>
            </w:r>
            <w:r w:rsidRPr="009C4E62">
              <w:rPr>
                <w:color w:val="000000" w:themeColor="text1"/>
              </w:rPr>
              <w:t xml:space="preserve">  </w:t>
            </w:r>
          </w:p>
          <w:p w:rsidRPr="009C4E62" w:rsidR="00DF563B" w:rsidP="00DF563B" w:rsidRDefault="00DF563B" w14:paraId="13E054E6" w14:textId="77777777">
            <w:pPr>
              <w:pStyle w:val="NoSpacing1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Participate in System After Action Activities</w:t>
            </w:r>
          </w:p>
          <w:p w:rsidRPr="009C4E62" w:rsidR="00DF563B" w:rsidP="00DF563B" w:rsidRDefault="00DF563B" w14:paraId="2025BD1F" w14:textId="77777777">
            <w:pPr>
              <w:pStyle w:val="NoSpacing1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Assist Subgroups when requested with the doctrine revision process</w:t>
            </w:r>
          </w:p>
        </w:tc>
      </w:tr>
      <w:tr w:rsidR="001006D6" w:rsidTr="54B8B1E9" w14:paraId="04C5C830" w14:textId="77777777">
        <w:trPr>
          <w:trHeight w:val="449"/>
        </w:trPr>
        <w:tc>
          <w:tcPr>
            <w:tcW w:w="2160" w:type="dxa"/>
            <w:tcMar/>
          </w:tcPr>
          <w:p w:rsidR="001006D6" w:rsidP="007A1B69" w:rsidRDefault="001006D6" w14:paraId="32F31C6B" w14:textId="77777777">
            <w:pPr>
              <w:pStyle w:val="NoSpacing1"/>
              <w:jc w:val="right"/>
            </w:pPr>
            <w:r>
              <w:t>Training</w:t>
            </w:r>
          </w:p>
        </w:tc>
        <w:tc>
          <w:tcPr>
            <w:tcW w:w="8190" w:type="dxa"/>
            <w:tcMar/>
          </w:tcPr>
          <w:p w:rsidRPr="005602F3" w:rsidR="001006D6" w:rsidP="001006D6" w:rsidRDefault="005D59A5" w14:paraId="33960C3D" w14:textId="1F79F49B">
            <w:pPr>
              <w:pStyle w:val="NoSpacing1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SMEs</w:t>
            </w:r>
            <w:r w:rsidR="001006D6">
              <w:rPr>
                <w:color w:val="000000" w:themeColor="text1"/>
              </w:rPr>
              <w:t xml:space="preserve"> on Training </w:t>
            </w:r>
            <w:r w:rsidRPr="005602F3" w:rsidR="001006D6">
              <w:rPr>
                <w:color w:val="000000" w:themeColor="text1"/>
              </w:rPr>
              <w:t>Techniques</w:t>
            </w:r>
            <w:r w:rsidR="001006D6">
              <w:rPr>
                <w:color w:val="000000" w:themeColor="text1"/>
              </w:rPr>
              <w:t xml:space="preserve">, </w:t>
            </w:r>
            <w:r w:rsidRPr="005602F3" w:rsidR="001006D6">
              <w:rPr>
                <w:color w:val="000000" w:themeColor="text1"/>
              </w:rPr>
              <w:t>Procedures</w:t>
            </w:r>
            <w:r w:rsidR="001006D6">
              <w:rPr>
                <w:color w:val="000000" w:themeColor="text1"/>
              </w:rPr>
              <w:t>, and Standards</w:t>
            </w:r>
          </w:p>
          <w:p w:rsidR="001006D6" w:rsidP="001006D6" w:rsidRDefault="001006D6" w14:paraId="1E60520F" w14:textId="77777777">
            <w:pPr>
              <w:pStyle w:val="NoSpacing1"/>
              <w:numPr>
                <w:ilvl w:val="0"/>
                <w:numId w:val="14"/>
              </w:numPr>
            </w:pPr>
            <w:r>
              <w:t>Review and Approve Training Requests</w:t>
            </w:r>
          </w:p>
          <w:p w:rsidR="001006D6" w:rsidP="001006D6" w:rsidRDefault="001006D6" w14:paraId="7038D161" w14:textId="77777777">
            <w:pPr>
              <w:pStyle w:val="NoSpacing1"/>
              <w:numPr>
                <w:ilvl w:val="0"/>
                <w:numId w:val="14"/>
              </w:numPr>
            </w:pPr>
            <w:r>
              <w:t>Manage the Instructor Application and Approval Process</w:t>
            </w:r>
          </w:p>
          <w:p w:rsidRPr="001307FD" w:rsidR="001006D6" w:rsidP="001006D6" w:rsidRDefault="001006D6" w14:paraId="4EC55E77" w14:textId="77777777">
            <w:pPr>
              <w:pStyle w:val="NoSpacing1"/>
              <w:numPr>
                <w:ilvl w:val="0"/>
                <w:numId w:val="14"/>
              </w:numPr>
            </w:pPr>
            <w:r>
              <w:t xml:space="preserve">Manage responsibilities described in the TPAM  </w:t>
            </w:r>
          </w:p>
        </w:tc>
      </w:tr>
      <w:tr w:rsidR="001006D6" w:rsidTr="54B8B1E9" w14:paraId="50827AC3" w14:textId="77777777">
        <w:trPr>
          <w:trHeight w:val="449"/>
        </w:trPr>
        <w:tc>
          <w:tcPr>
            <w:tcW w:w="2160" w:type="dxa"/>
            <w:tcMar/>
          </w:tcPr>
          <w:p w:rsidR="001006D6" w:rsidP="0A780CE2" w:rsidRDefault="001006D6" w14:paraId="329D7B75" w14:textId="77777777">
            <w:pPr>
              <w:pStyle w:val="NoSpacing1"/>
              <w:jc w:val="right"/>
            </w:pPr>
            <w:r w:rsidR="2CD46C7A">
              <w:rPr/>
              <w:t>Exercise</w:t>
            </w:r>
          </w:p>
        </w:tc>
        <w:tc>
          <w:tcPr>
            <w:tcW w:w="8190" w:type="dxa"/>
            <w:tcMar/>
          </w:tcPr>
          <w:p w:rsidR="001006D6" w:rsidP="001006D6" w:rsidRDefault="001006D6" w14:paraId="5E95FCD0" w14:textId="77777777">
            <w:pPr>
              <w:pStyle w:val="NoSpacing1"/>
              <w:numPr>
                <w:ilvl w:val="0"/>
                <w:numId w:val="15"/>
              </w:numPr>
            </w:pPr>
            <w:r>
              <w:t>Review and Approve Exercise Requests</w:t>
            </w:r>
          </w:p>
          <w:p w:rsidR="001006D6" w:rsidP="001006D6" w:rsidRDefault="001006D6" w14:paraId="3B109214" w14:textId="77777777">
            <w:pPr>
              <w:pStyle w:val="NoSpacing1"/>
              <w:numPr>
                <w:ilvl w:val="0"/>
                <w:numId w:val="15"/>
              </w:numPr>
            </w:pPr>
            <w:r>
              <w:t xml:space="preserve">Provide SME assistance to Task Forces for Exercise Development </w:t>
            </w:r>
          </w:p>
          <w:p w:rsidRPr="001307FD" w:rsidR="001006D6" w:rsidP="001006D6" w:rsidRDefault="001006D6" w14:paraId="05C0CCEE" w14:textId="77777777">
            <w:pPr>
              <w:pStyle w:val="NoSpacing1"/>
              <w:numPr>
                <w:ilvl w:val="0"/>
                <w:numId w:val="15"/>
              </w:numPr>
            </w:pPr>
            <w:r>
              <w:t xml:space="preserve">Manage responsibilities described in the TPAM  </w:t>
            </w:r>
          </w:p>
        </w:tc>
      </w:tr>
      <w:tr w:rsidR="001006D6" w:rsidTr="54B8B1E9" w14:paraId="6F383261" w14:textId="77777777">
        <w:trPr>
          <w:trHeight w:val="449"/>
        </w:trPr>
        <w:tc>
          <w:tcPr>
            <w:tcW w:w="2160" w:type="dxa"/>
            <w:tcMar/>
          </w:tcPr>
          <w:p w:rsidR="001006D6" w:rsidP="007A1B69" w:rsidRDefault="001006D6" w14:paraId="38AC5C70" w14:textId="77777777">
            <w:pPr>
              <w:pStyle w:val="NoSpacing1"/>
              <w:jc w:val="right"/>
            </w:pPr>
            <w:r>
              <w:t>Response</w:t>
            </w:r>
          </w:p>
        </w:tc>
        <w:tc>
          <w:tcPr>
            <w:tcW w:w="8190" w:type="dxa"/>
            <w:tcMar/>
          </w:tcPr>
          <w:p w:rsidRPr="009C4E62" w:rsidR="001006D6" w:rsidP="001006D6" w:rsidRDefault="001006D6" w14:paraId="4763071C" w14:textId="77777777">
            <w:pPr>
              <w:pStyle w:val="NoSpacing1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Review and update System Response Doctrine &amp; Concept of Operations</w:t>
            </w:r>
          </w:p>
          <w:p w:rsidRPr="009C4E62" w:rsidR="001006D6" w:rsidP="001006D6" w:rsidRDefault="001006D6" w14:paraId="3D148F85" w14:textId="77777777">
            <w:pPr>
              <w:pStyle w:val="NoSpacing1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Review and coordinate Task Force Position Description updates  </w:t>
            </w:r>
          </w:p>
          <w:p w:rsidRPr="009C4E62" w:rsidR="001006D6" w:rsidP="001006D6" w:rsidRDefault="001006D6" w14:paraId="58D2ACB1" w14:textId="77777777">
            <w:pPr>
              <w:pStyle w:val="NoSpacing1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Review and coordinate System Field Operation Guide updates</w:t>
            </w:r>
          </w:p>
          <w:p w:rsidRPr="00653676" w:rsidR="001006D6" w:rsidP="001006D6" w:rsidRDefault="001006D6" w14:paraId="298BF55D" w14:textId="092E14B3">
            <w:pPr>
              <w:pStyle w:val="NoSpacing1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A780CE2" w:rsidR="2D51820B">
              <w:rPr>
                <w:color w:val="000000" w:themeColor="text1" w:themeTint="FF" w:themeShade="FF"/>
              </w:rPr>
              <w:t xml:space="preserve">Manage the Task Force Command and Response Processes  </w:t>
            </w:r>
          </w:p>
          <w:p w:rsidRPr="00653676" w:rsidR="001006D6" w:rsidP="54B8B1E9" w:rsidRDefault="001006D6" w14:paraId="2CC7B9E3" w14:textId="71C63A0C">
            <w:pPr>
              <w:pStyle w:val="NoSpacing1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54B8B1E9" w:rsidR="02E03FFA">
              <w:rPr>
                <w:color w:val="000000" w:themeColor="text1" w:themeTint="FF" w:themeShade="FF"/>
              </w:rPr>
              <w:t>PIO Techniques, Procedures, and Standards</w:t>
            </w:r>
          </w:p>
          <w:p w:rsidRPr="00653676" w:rsidR="001006D6" w:rsidP="0A780CE2" w:rsidRDefault="001006D6" w14:paraId="2537F82A" w14:textId="2F0A0412">
            <w:pPr>
              <w:pStyle w:val="NoSpacing1"/>
              <w:numPr>
                <w:ilvl w:val="0"/>
                <w:numId w:val="16"/>
              </w:numPr>
              <w:rPr>
                <w:color w:val="000000" w:themeColor="text1"/>
                <w:highlight w:val="yellow"/>
              </w:rPr>
            </w:pPr>
            <w:r w:rsidRPr="54B8B1E9" w:rsidR="02E03FFA">
              <w:rPr>
                <w:color w:val="000000" w:themeColor="text1" w:themeTint="FF" w:themeShade="FF"/>
              </w:rPr>
              <w:t>Develop Marketing and PIO Materials</w:t>
            </w:r>
            <w:r w:rsidRPr="54B8B1E9" w:rsidR="02E03FFA">
              <w:rPr>
                <w:color w:val="000000" w:themeColor="text1" w:themeTint="FF" w:themeShade="FF"/>
              </w:rPr>
              <w:t xml:space="preserve">  </w:t>
            </w:r>
          </w:p>
        </w:tc>
      </w:tr>
      <w:tr w:rsidR="001006D6" w:rsidTr="54B8B1E9" w14:paraId="29FBD0F8" w14:textId="77777777">
        <w:trPr>
          <w:trHeight w:val="449"/>
        </w:trPr>
        <w:tc>
          <w:tcPr>
            <w:tcW w:w="2160" w:type="dxa"/>
            <w:tcMar/>
          </w:tcPr>
          <w:p w:rsidR="001006D6" w:rsidP="007A1B69" w:rsidRDefault="001006D6" w14:paraId="59F1AC3F" w14:textId="77777777">
            <w:pPr>
              <w:pStyle w:val="NoSpacing1"/>
              <w:jc w:val="right"/>
            </w:pPr>
            <w:r>
              <w:t>Planning</w:t>
            </w:r>
          </w:p>
        </w:tc>
        <w:tc>
          <w:tcPr>
            <w:tcW w:w="8190" w:type="dxa"/>
            <w:tcMar/>
          </w:tcPr>
          <w:p w:rsidRPr="005602F3" w:rsidR="001006D6" w:rsidP="001006D6" w:rsidRDefault="001006D6" w14:paraId="2769D437" w14:textId="77777777">
            <w:pPr>
              <w:pStyle w:val="NoSpacing1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ICS Planning </w:t>
            </w:r>
            <w:r w:rsidRPr="005602F3">
              <w:rPr>
                <w:color w:val="000000" w:themeColor="text1"/>
              </w:rPr>
              <w:t>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</w:t>
            </w:r>
          </w:p>
          <w:p w:rsidR="001006D6" w:rsidP="001006D6" w:rsidRDefault="001006D6" w14:paraId="21FF07F7" w14:textId="77777777">
            <w:pPr>
              <w:pStyle w:val="NoSpacing1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Manage and define the Task Force and IST Planning Processes  </w:t>
            </w:r>
          </w:p>
          <w:p w:rsidR="001006D6" w:rsidP="001006D6" w:rsidRDefault="001006D6" w14:paraId="4FE15B3B" w14:textId="77777777">
            <w:pPr>
              <w:pStyle w:val="NoSpacing1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Coordinate enhancements and promote SAR Common Operating P</w:t>
            </w:r>
            <w:r>
              <w:rPr>
                <w:color w:val="000000" w:themeColor="text1"/>
              </w:rPr>
              <w:t>latform</w:t>
            </w:r>
            <w:r w:rsidRPr="009C4E62">
              <w:rPr>
                <w:color w:val="000000" w:themeColor="text1"/>
              </w:rPr>
              <w:t xml:space="preserve"> (SARCOP)</w:t>
            </w:r>
          </w:p>
          <w:p w:rsidRPr="009D5E48" w:rsidR="001006D6" w:rsidP="001006D6" w:rsidRDefault="001006D6" w14:paraId="1375D1BC" w14:textId="77777777">
            <w:pPr>
              <w:pStyle w:val="NoSpacing1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Planning </w:t>
            </w:r>
            <w:r w:rsidRPr="009B0637">
              <w:rPr>
                <w:color w:val="000000" w:themeColor="text1"/>
              </w:rPr>
              <w:t xml:space="preserve">doctrine and curriculum  </w:t>
            </w:r>
          </w:p>
        </w:tc>
      </w:tr>
      <w:tr w:rsidR="001006D6" w:rsidTr="54B8B1E9" w14:paraId="7332F03A" w14:textId="77777777">
        <w:trPr>
          <w:trHeight w:val="449"/>
        </w:trPr>
        <w:tc>
          <w:tcPr>
            <w:tcW w:w="2160" w:type="dxa"/>
            <w:tcMar/>
          </w:tcPr>
          <w:p w:rsidR="001006D6" w:rsidP="007A1B69" w:rsidRDefault="001006D6" w14:paraId="3C8C925C" w14:textId="77777777">
            <w:pPr>
              <w:pStyle w:val="NoSpacing1"/>
              <w:jc w:val="right"/>
            </w:pPr>
            <w:r>
              <w:t>IST</w:t>
            </w:r>
          </w:p>
        </w:tc>
        <w:tc>
          <w:tcPr>
            <w:tcW w:w="8190" w:type="dxa"/>
            <w:tcMar/>
          </w:tcPr>
          <w:p w:rsidRPr="009C4E62" w:rsidR="001006D6" w:rsidP="001006D6" w:rsidRDefault="001006D6" w14:paraId="77D7AC35" w14:textId="77777777">
            <w:pPr>
              <w:pStyle w:val="NoSpacing1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Manage IST Application and Selection Process</w:t>
            </w:r>
          </w:p>
          <w:p w:rsidRPr="009C4E62" w:rsidR="001006D6" w:rsidP="001006D6" w:rsidRDefault="001006D6" w14:paraId="27F676D3" w14:textId="77777777">
            <w:pPr>
              <w:pStyle w:val="NoSpacing1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>Develop IST Continuing Education Training</w:t>
            </w:r>
          </w:p>
          <w:p w:rsidRPr="009C4E62" w:rsidR="001006D6" w:rsidP="001006D6" w:rsidRDefault="001006D6" w14:paraId="35394303" w14:textId="77777777">
            <w:pPr>
              <w:pStyle w:val="NoSpacing1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9C4E62">
              <w:rPr>
                <w:color w:val="000000" w:themeColor="text1"/>
              </w:rPr>
              <w:t xml:space="preserve">Standardization of IST Procedures   </w:t>
            </w:r>
          </w:p>
          <w:p w:rsidRPr="009C4E62" w:rsidR="001006D6" w:rsidP="001006D6" w:rsidRDefault="001006D6" w14:paraId="7756053F" w14:textId="5DC2BF85">
            <w:pPr>
              <w:pStyle w:val="NoSpacing1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A780CE2" w:rsidR="2D51820B">
              <w:rPr>
                <w:color w:val="000000" w:themeColor="text1" w:themeTint="FF" w:themeShade="FF"/>
              </w:rPr>
              <w:t xml:space="preserve">IST doctrine and curriculum </w:t>
            </w:r>
          </w:p>
          <w:p w:rsidRPr="009C4E62" w:rsidR="001006D6" w:rsidP="54B8B1E9" w:rsidRDefault="001006D6" w14:paraId="484F406A" w14:textId="06FDD405">
            <w:pPr>
              <w:pStyle w:val="NoSpacing1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54B8B1E9" w:rsidR="5BD03B46">
              <w:rPr>
                <w:color w:val="000000" w:themeColor="text1" w:themeTint="FF" w:themeShade="FF"/>
              </w:rPr>
              <w:t>Revision of IST Equipment Cache List</w:t>
            </w:r>
          </w:p>
          <w:p w:rsidRPr="009C4E62" w:rsidR="001006D6" w:rsidP="0A780CE2" w:rsidRDefault="001006D6" w14:paraId="70CC9311" w14:textId="0264AFB8">
            <w:pPr>
              <w:pStyle w:val="NoSpacing1"/>
              <w:numPr>
                <w:ilvl w:val="0"/>
                <w:numId w:val="20"/>
              </w:numPr>
              <w:rPr>
                <w:color w:val="000000" w:themeColor="text1"/>
                <w:highlight w:val="yellow"/>
              </w:rPr>
            </w:pPr>
            <w:r w:rsidRPr="54B8B1E9" w:rsidR="5BD03B46">
              <w:rPr>
                <w:color w:val="000000" w:themeColor="text1" w:themeTint="FF" w:themeShade="FF"/>
              </w:rPr>
              <w:t>Standardization of IST Equipment</w:t>
            </w:r>
            <w:r w:rsidRPr="54B8B1E9" w:rsidR="5BD03B46">
              <w:rPr>
                <w:color w:val="000000" w:themeColor="text1" w:themeTint="FF" w:themeShade="FF"/>
              </w:rPr>
              <w:t xml:space="preserve">  </w:t>
            </w:r>
          </w:p>
        </w:tc>
      </w:tr>
      <w:tr w:rsidR="001006D6" w:rsidTr="54B8B1E9" w14:paraId="4D69A129" w14:textId="77777777">
        <w:trPr>
          <w:trHeight w:val="449"/>
        </w:trPr>
        <w:tc>
          <w:tcPr>
            <w:tcW w:w="2160" w:type="dxa"/>
            <w:tcMar/>
          </w:tcPr>
          <w:p w:rsidR="001006D6" w:rsidP="007A1B69" w:rsidRDefault="001006D6" w14:paraId="2456AF62" w14:textId="77777777">
            <w:pPr>
              <w:pStyle w:val="NoSpacing1"/>
              <w:jc w:val="right"/>
            </w:pPr>
            <w:r>
              <w:t>Safety</w:t>
            </w:r>
          </w:p>
        </w:tc>
        <w:tc>
          <w:tcPr>
            <w:tcW w:w="8190" w:type="dxa"/>
            <w:tcMar/>
          </w:tcPr>
          <w:p w:rsidRPr="005602F3" w:rsidR="001006D6" w:rsidP="001006D6" w:rsidRDefault="001006D6" w14:paraId="2C931061" w14:textId="77777777">
            <w:pPr>
              <w:pStyle w:val="NoSpacing1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Safety </w:t>
            </w:r>
            <w:r w:rsidRPr="005602F3">
              <w:rPr>
                <w:color w:val="000000" w:themeColor="text1"/>
              </w:rPr>
              <w:t>Techniques</w:t>
            </w:r>
            <w:r>
              <w:rPr>
                <w:color w:val="000000" w:themeColor="text1"/>
              </w:rPr>
              <w:t xml:space="preserve">, </w:t>
            </w:r>
            <w:r w:rsidRPr="005602F3">
              <w:rPr>
                <w:color w:val="000000" w:themeColor="text1"/>
              </w:rPr>
              <w:t>Procedures</w:t>
            </w:r>
            <w:r>
              <w:rPr>
                <w:color w:val="000000" w:themeColor="text1"/>
              </w:rPr>
              <w:t>, and Standards</w:t>
            </w:r>
          </w:p>
          <w:p w:rsidRPr="00C050EB" w:rsidR="001006D6" w:rsidP="001006D6" w:rsidRDefault="001006D6" w14:paraId="20E8218C" w14:textId="77777777">
            <w:pPr>
              <w:pStyle w:val="NoSpacing1"/>
              <w:numPr>
                <w:ilvl w:val="0"/>
                <w:numId w:val="19"/>
              </w:numPr>
            </w:pPr>
            <w:r>
              <w:rPr>
                <w:color w:val="000000" w:themeColor="text1"/>
              </w:rPr>
              <w:t xml:space="preserve">Near-Miss, Exposure, Injury and IWI Reporting </w:t>
            </w:r>
          </w:p>
          <w:p w:rsidRPr="001307FD" w:rsidR="001006D6" w:rsidP="001006D6" w:rsidRDefault="001006D6" w14:paraId="045BB634" w14:textId="77777777">
            <w:pPr>
              <w:pStyle w:val="NoSpacing1"/>
              <w:numPr>
                <w:ilvl w:val="0"/>
                <w:numId w:val="19"/>
              </w:numPr>
            </w:pPr>
            <w:r w:rsidRPr="005602F3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afety doctrine and </w:t>
            </w:r>
            <w:r w:rsidRPr="004C5043">
              <w:rPr>
                <w:color w:val="000000" w:themeColor="text1"/>
              </w:rPr>
              <w:t xml:space="preserve">curriculum  </w:t>
            </w:r>
          </w:p>
        </w:tc>
      </w:tr>
    </w:tbl>
    <w:p w:rsidR="00DF563B" w:rsidRDefault="00DF563B" w14:paraId="74B04E81" w14:textId="77777777"/>
    <w:sectPr w:rsidR="00DF563B" w:rsidSect="006566B8">
      <w:headerReference w:type="default" r:id="rId37"/>
      <w:footerReference w:type="default" r:id="rId38"/>
      <w:pgSz w:w="12240" w:h="15840" w:orient="portrait"/>
      <w:pgMar w:top="990" w:right="1440" w:bottom="36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C6E" w:rsidP="00D20AB3" w:rsidRDefault="00280C6E" w14:paraId="3511F012" w14:textId="77777777">
      <w:pPr>
        <w:spacing w:after="0" w:line="240" w:lineRule="auto"/>
      </w:pPr>
      <w:r>
        <w:separator/>
      </w:r>
    </w:p>
  </w:endnote>
  <w:endnote w:type="continuationSeparator" w:id="0">
    <w:p w:rsidR="00280C6E" w:rsidP="00D20AB3" w:rsidRDefault="00280C6E" w14:paraId="36DA51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F6652B" w:rsidTr="57F6652B" w14:paraId="08AC0F3A" w14:textId="77777777">
      <w:trPr>
        <w:trHeight w:val="300"/>
      </w:trPr>
      <w:tc>
        <w:tcPr>
          <w:tcW w:w="3120" w:type="dxa"/>
        </w:tcPr>
        <w:p w:rsidR="57F6652B" w:rsidP="57F6652B" w:rsidRDefault="57F6652B" w14:paraId="77B7FE6C" w14:textId="35C26C96">
          <w:pPr>
            <w:pStyle w:val="Header"/>
            <w:ind w:left="-115"/>
          </w:pPr>
        </w:p>
      </w:tc>
      <w:tc>
        <w:tcPr>
          <w:tcW w:w="3120" w:type="dxa"/>
        </w:tcPr>
        <w:p w:rsidR="57F6652B" w:rsidP="57F6652B" w:rsidRDefault="57F6652B" w14:paraId="5467D189" w14:textId="367BCE90">
          <w:pPr>
            <w:pStyle w:val="Header"/>
            <w:jc w:val="center"/>
          </w:pPr>
        </w:p>
      </w:tc>
      <w:tc>
        <w:tcPr>
          <w:tcW w:w="3120" w:type="dxa"/>
        </w:tcPr>
        <w:p w:rsidR="57F6652B" w:rsidP="57F6652B" w:rsidRDefault="57F6652B" w14:paraId="063F939C" w14:textId="252EB5BE">
          <w:pPr>
            <w:pStyle w:val="Header"/>
            <w:ind w:right="-115"/>
            <w:jc w:val="right"/>
          </w:pPr>
        </w:p>
      </w:tc>
    </w:tr>
  </w:tbl>
  <w:p w:rsidR="57F6652B" w:rsidP="57F6652B" w:rsidRDefault="57F6652B" w14:paraId="6F6C8312" w14:textId="0B18C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C6E" w:rsidP="00D20AB3" w:rsidRDefault="00280C6E" w14:paraId="7EA46556" w14:textId="77777777">
      <w:pPr>
        <w:spacing w:after="0" w:line="240" w:lineRule="auto"/>
      </w:pPr>
      <w:r>
        <w:separator/>
      </w:r>
    </w:p>
  </w:footnote>
  <w:footnote w:type="continuationSeparator" w:id="0">
    <w:p w:rsidR="00280C6E" w:rsidP="00D20AB3" w:rsidRDefault="00280C6E" w14:paraId="716EC7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0" w:type="dxa"/>
      <w:tblInd w:w="-612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Layout w:type="fixed"/>
      <w:tblLook w:val="0000" w:firstRow="0" w:lastRow="0" w:firstColumn="0" w:lastColumn="0" w:noHBand="0" w:noVBand="0"/>
    </w:tblPr>
    <w:tblGrid>
      <w:gridCol w:w="1890"/>
      <w:gridCol w:w="3420"/>
      <w:gridCol w:w="2970"/>
      <w:gridCol w:w="2520"/>
    </w:tblGrid>
    <w:tr w:rsidR="00D20AB3" w:rsidTr="6366014E" w14:paraId="11CFEE2C" w14:textId="77777777">
      <w:trPr>
        <w:cantSplit/>
        <w:trHeight w:val="300"/>
      </w:trPr>
      <w:tc>
        <w:tcPr>
          <w:tcW w:w="1890" w:type="dxa"/>
          <w:vMerge w:val="restart"/>
          <w:tcMar/>
          <w:vAlign w:val="center"/>
        </w:tcPr>
        <w:p w:rsidR="00D20AB3" w:rsidP="00D20AB3" w:rsidRDefault="1BD3B4C8" w14:paraId="752DF52C" w14:textId="2F41F5A3">
          <w:r>
            <w:rPr>
              <w:noProof/>
            </w:rPr>
            <w:drawing>
              <wp:inline distT="0" distB="0" distL="0" distR="0" wp14:anchorId="3B1ABB7A" wp14:editId="742A80D4">
                <wp:extent cx="1017270" cy="1190625"/>
                <wp:effectExtent l="0" t="0" r="0" b="0"/>
                <wp:docPr id="761438637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270" cy="1190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0" w:type="dxa"/>
          <w:gridSpan w:val="3"/>
          <w:tcMar/>
          <w:vAlign w:val="center"/>
        </w:tcPr>
        <w:p w:rsidRPr="0058204F" w:rsidR="00D20AB3" w:rsidP="00D20AB3" w:rsidRDefault="00D20AB3" w14:paraId="7F238C72" w14:textId="77777777">
          <w:pPr>
            <w:pStyle w:val="Heading1"/>
            <w:jc w:val="center"/>
            <w:rPr>
              <w:rFonts w:ascii="Times New Roman" w:hAnsi="Times New Roman"/>
              <w:kern w:val="0"/>
              <w:sz w:val="24"/>
              <w:szCs w:val="24"/>
              <w:lang w:val="en-US" w:eastAsia="en-US"/>
            </w:rPr>
          </w:pPr>
          <w:r w:rsidRPr="00450024">
            <w:rPr>
              <w:rFonts w:ascii="Times New Roman" w:hAnsi="Times New Roman"/>
              <w:kern w:val="0"/>
              <w:sz w:val="24"/>
              <w:szCs w:val="24"/>
              <w:lang w:val="en-US" w:eastAsia="en-US"/>
            </w:rPr>
            <w:t>FEMA National Urban Search &amp; Rescue Response System</w:t>
          </w:r>
        </w:p>
      </w:tc>
    </w:tr>
    <w:tr w:rsidR="00D20AB3" w:rsidTr="6366014E" w14:paraId="7733BC8C" w14:textId="77777777">
      <w:trPr>
        <w:cantSplit/>
        <w:trHeight w:val="375"/>
      </w:trPr>
      <w:tc>
        <w:tcPr>
          <w:tcW w:w="1890" w:type="dxa"/>
          <w:vMerge/>
          <w:tcMar/>
          <w:textDirection w:val="tbRl"/>
          <w:vAlign w:val="center"/>
        </w:tcPr>
        <w:p w:rsidR="00D20AB3" w:rsidP="00D20AB3" w:rsidRDefault="00D20AB3" w14:paraId="70F0D217" w14:textId="77777777">
          <w:pPr>
            <w:ind w:left="113" w:right="113"/>
          </w:pPr>
        </w:p>
      </w:tc>
      <w:tc>
        <w:tcPr>
          <w:tcW w:w="3420" w:type="dxa"/>
          <w:tcMar/>
          <w:vAlign w:val="center"/>
        </w:tcPr>
        <w:p w:rsidRPr="0058204F" w:rsidR="00D20AB3" w:rsidP="00B35BCF" w:rsidRDefault="00D20AB3" w14:paraId="61B8C0D4" w14:textId="77777777">
          <w:pPr>
            <w:pStyle w:val="NoSpacing"/>
            <w:rPr>
              <w:b/>
            </w:rPr>
          </w:pPr>
          <w:r>
            <w:rPr>
              <w:b/>
            </w:rPr>
            <w:t xml:space="preserve">Ref: </w:t>
          </w:r>
          <w:r>
            <w:t>US&amp;R GM</w:t>
          </w:r>
        </w:p>
      </w:tc>
      <w:tc>
        <w:tcPr>
          <w:tcW w:w="2970" w:type="dxa"/>
          <w:tcMar/>
          <w:vAlign w:val="center"/>
        </w:tcPr>
        <w:p w:rsidRPr="009962DA" w:rsidR="00D20AB3" w:rsidP="00B35BCF" w:rsidRDefault="57F6652B" w14:paraId="07CA6441" w14:textId="20C99646">
          <w:pPr>
            <w:pStyle w:val="NoSpacing"/>
          </w:pPr>
          <w:r w:rsidRPr="57F6652B">
            <w:rPr>
              <w:b/>
              <w:bCs/>
            </w:rPr>
            <w:t>DATE:</w:t>
          </w:r>
          <w:r>
            <w:t xml:space="preserve">  October 1, 2025</w:t>
          </w:r>
        </w:p>
      </w:tc>
      <w:tc>
        <w:tcPr>
          <w:tcW w:w="2520" w:type="dxa"/>
          <w:tcMar/>
          <w:vAlign w:val="center"/>
        </w:tcPr>
        <w:p w:rsidR="00D20AB3" w:rsidP="00D20AB3" w:rsidRDefault="00D20AB3" w14:paraId="7A74BFEA" w14:textId="77777777">
          <w:pPr>
            <w:pStyle w:val="Heading2"/>
            <w:jc w:val="center"/>
            <w:rPr>
              <w:rFonts w:ascii="Times New Roman" w:hAnsi="Times New Roman"/>
              <w:b w:val="0"/>
              <w:bCs w:val="0"/>
              <w:i w:val="0"/>
              <w:iCs w:val="0"/>
              <w:sz w:val="24"/>
              <w:szCs w:val="24"/>
              <w:lang w:val="en-US" w:eastAsia="en-US"/>
            </w:rPr>
          </w:pPr>
          <w:r w:rsidRPr="00450024">
            <w:rPr>
              <w:rFonts w:ascii="Times New Roman" w:hAnsi="Times New Roman"/>
              <w:i w:val="0"/>
              <w:iCs w:val="0"/>
              <w:sz w:val="24"/>
              <w:szCs w:val="24"/>
              <w:lang w:val="en-US" w:eastAsia="en-US"/>
            </w:rPr>
            <w:t>DISTRIBUTION:</w:t>
          </w:r>
          <w:r w:rsidRPr="00450024">
            <w:rPr>
              <w:rFonts w:ascii="Times New Roman" w:hAnsi="Times New Roman"/>
              <w:b w:val="0"/>
              <w:bCs w:val="0"/>
              <w:i w:val="0"/>
              <w:iCs w:val="0"/>
              <w:sz w:val="24"/>
              <w:szCs w:val="24"/>
              <w:lang w:val="en-US" w:eastAsia="en-US"/>
            </w:rPr>
            <w:t xml:space="preserve">  </w:t>
          </w:r>
        </w:p>
        <w:p w:rsidRPr="00450024" w:rsidR="00D20AB3" w:rsidP="00D20AB3" w:rsidRDefault="00D20AB3" w14:paraId="6BF37DF3" w14:textId="77777777">
          <w:pPr>
            <w:pStyle w:val="Heading2"/>
            <w:jc w:val="center"/>
            <w:rPr>
              <w:rFonts w:ascii="Times New Roman" w:hAnsi="Times New Roman"/>
              <w:i w:val="0"/>
              <w:iCs w:val="0"/>
              <w:sz w:val="24"/>
              <w:szCs w:val="24"/>
              <w:lang w:val="en-US" w:eastAsia="en-US"/>
            </w:rPr>
          </w:pPr>
          <w:r>
            <w:rPr>
              <w:rFonts w:ascii="Times New Roman" w:hAnsi="Times New Roman"/>
              <w:b w:val="0"/>
              <w:bCs w:val="0"/>
              <w:i w:val="0"/>
              <w:iCs w:val="0"/>
              <w:sz w:val="24"/>
              <w:szCs w:val="24"/>
              <w:lang w:val="en-US" w:eastAsia="en-US"/>
            </w:rPr>
            <w:t>Systemwide</w:t>
          </w:r>
        </w:p>
      </w:tc>
    </w:tr>
    <w:tr w:rsidR="00D20AB3" w:rsidTr="6366014E" w14:paraId="36DAE0B8" w14:textId="77777777">
      <w:trPr>
        <w:cantSplit/>
        <w:trHeight w:val="432"/>
      </w:trPr>
      <w:tc>
        <w:tcPr>
          <w:tcW w:w="1890" w:type="dxa"/>
          <w:vMerge/>
          <w:tcMar/>
        </w:tcPr>
        <w:p w:rsidR="00D20AB3" w:rsidP="00D20AB3" w:rsidRDefault="00D20AB3" w14:paraId="16D54F02" w14:textId="77777777"/>
      </w:tc>
      <w:tc>
        <w:tcPr>
          <w:tcW w:w="8910" w:type="dxa"/>
          <w:gridSpan w:val="3"/>
          <w:tcMar/>
          <w:vAlign w:val="center"/>
        </w:tcPr>
        <w:p w:rsidRPr="009962DA" w:rsidR="00D20AB3" w:rsidP="6366014E" w:rsidRDefault="00D20AB3" w14:paraId="53C7935E" w14:textId="38DB676E">
          <w:pPr>
            <w:pStyle w:val="NoSpacing"/>
            <w:rPr>
              <w:rFonts w:ascii="Times New Roman" w:hAnsi="Times New Roman" w:eastAsia="Calibri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pPr>
          <w:r w:rsidRPr="6366014E" w:rsidR="6366014E">
            <w:rPr>
              <w:b w:val="1"/>
              <w:bCs w:val="1"/>
            </w:rPr>
            <w:t>ISSUED BY:</w:t>
          </w:r>
          <w:r w:rsidR="6366014E">
            <w:rPr/>
            <w:t xml:space="preserve">  </w:t>
          </w:r>
          <w:r w:rsidRPr="6366014E" w:rsidR="6366014E">
            <w:rPr>
              <w:rFonts w:ascii="Times New Roman" w:hAnsi="Times New Roman" w:eastAsia="Calibri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Catherine Deel, Acting Chief </w:t>
          </w:r>
        </w:p>
        <w:p w:rsidRPr="009962DA" w:rsidR="00D20AB3" w:rsidP="6366014E" w:rsidRDefault="00D20AB3" w14:paraId="1044B4DB" w14:textId="3BDC0957">
          <w:pPr>
            <w:pStyle w:val="NoSpacing"/>
            <w:rPr>
              <w:rFonts w:ascii="Times New Roman" w:hAnsi="Times New Roman" w:eastAsia="Calibri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pPr>
          <w:r w:rsidRPr="6366014E" w:rsidR="6366014E">
            <w:rPr>
              <w:rFonts w:ascii="Times New Roman" w:hAnsi="Times New Roman" w:eastAsia="Calibri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                        Urban Search and Rescue Branch</w:t>
          </w:r>
        </w:p>
      </w:tc>
    </w:tr>
    <w:tr w:rsidR="00D20AB3" w:rsidTr="6366014E" w14:paraId="7ED70A44" w14:textId="77777777">
      <w:trPr>
        <w:cantSplit/>
        <w:trHeight w:val="1095"/>
      </w:trPr>
      <w:tc>
        <w:tcPr>
          <w:tcW w:w="1890" w:type="dxa"/>
          <w:vMerge/>
          <w:tcMar/>
        </w:tcPr>
        <w:p w:rsidR="00D20AB3" w:rsidP="00D20AB3" w:rsidRDefault="00D20AB3" w14:paraId="05EBBE4D" w14:textId="77777777"/>
      </w:tc>
      <w:tc>
        <w:tcPr>
          <w:tcW w:w="8910" w:type="dxa"/>
          <w:gridSpan w:val="3"/>
          <w:tcMar/>
          <w:vAlign w:val="center"/>
        </w:tcPr>
        <w:p w:rsidRPr="009962DA" w:rsidR="00D20AB3" w:rsidP="00B35BCF" w:rsidRDefault="1983F4F4" w14:paraId="3FF04014" w14:textId="45098595">
          <w:pPr>
            <w:pStyle w:val="NoSpacing"/>
          </w:pPr>
          <w:r w:rsidRPr="1983F4F4">
            <w:rPr>
              <w:b/>
              <w:bCs/>
            </w:rPr>
            <w:t>SUBJECT:</w:t>
          </w:r>
          <w:r>
            <w:t xml:space="preserve">  2025 Advisory Organization – List of Vacant Positions</w:t>
          </w:r>
        </w:p>
      </w:tc>
    </w:tr>
  </w:tbl>
  <w:p w:rsidR="00D20AB3" w:rsidRDefault="00D20AB3" w14:paraId="1AB1CC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2C5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A1794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8067B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627A3"/>
    <w:multiLevelType w:val="hybridMultilevel"/>
    <w:tmpl w:val="BD8089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67E67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3A4E3A"/>
    <w:multiLevelType w:val="hybridMultilevel"/>
    <w:tmpl w:val="1CECE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9332B"/>
    <w:multiLevelType w:val="hybridMultilevel"/>
    <w:tmpl w:val="A0F45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02E72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962CA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A53BDF"/>
    <w:multiLevelType w:val="hybridMultilevel"/>
    <w:tmpl w:val="A5400F5E"/>
    <w:lvl w:ilvl="0" w:tplc="D95C30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3F62AC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9E13D2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FD0EA8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02C88"/>
    <w:multiLevelType w:val="hybridMultilevel"/>
    <w:tmpl w:val="3586D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10CB6"/>
    <w:multiLevelType w:val="hybridMultilevel"/>
    <w:tmpl w:val="3586D6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E0141"/>
    <w:multiLevelType w:val="hybridMultilevel"/>
    <w:tmpl w:val="3586D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5F34C1"/>
    <w:multiLevelType w:val="hybridMultilevel"/>
    <w:tmpl w:val="3586D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230104"/>
    <w:multiLevelType w:val="hybridMultilevel"/>
    <w:tmpl w:val="F0BE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AD35E7"/>
    <w:multiLevelType w:val="hybridMultilevel"/>
    <w:tmpl w:val="3586D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10F5C"/>
    <w:multiLevelType w:val="hybridMultilevel"/>
    <w:tmpl w:val="1CECE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2209865">
    <w:abstractNumId w:val="0"/>
  </w:num>
  <w:num w:numId="2" w16cid:durableId="195196753">
    <w:abstractNumId w:val="12"/>
  </w:num>
  <w:num w:numId="3" w16cid:durableId="538933203">
    <w:abstractNumId w:val="10"/>
  </w:num>
  <w:num w:numId="4" w16cid:durableId="717163617">
    <w:abstractNumId w:val="2"/>
  </w:num>
  <w:num w:numId="5" w16cid:durableId="246812964">
    <w:abstractNumId w:val="17"/>
  </w:num>
  <w:num w:numId="6" w16cid:durableId="882332928">
    <w:abstractNumId w:val="4"/>
  </w:num>
  <w:num w:numId="7" w16cid:durableId="865564686">
    <w:abstractNumId w:val="7"/>
  </w:num>
  <w:num w:numId="8" w16cid:durableId="188644554">
    <w:abstractNumId w:val="1"/>
  </w:num>
  <w:num w:numId="9" w16cid:durableId="600995697">
    <w:abstractNumId w:val="8"/>
  </w:num>
  <w:num w:numId="10" w16cid:durableId="184170687">
    <w:abstractNumId w:val="11"/>
  </w:num>
  <w:num w:numId="11" w16cid:durableId="1219853038">
    <w:abstractNumId w:val="19"/>
  </w:num>
  <w:num w:numId="12" w16cid:durableId="1295058618">
    <w:abstractNumId w:val="9"/>
  </w:num>
  <w:num w:numId="13" w16cid:durableId="1100486624">
    <w:abstractNumId w:val="5"/>
  </w:num>
  <w:num w:numId="14" w16cid:durableId="857692095">
    <w:abstractNumId w:val="3"/>
  </w:num>
  <w:num w:numId="15" w16cid:durableId="1986427738">
    <w:abstractNumId w:val="6"/>
  </w:num>
  <w:num w:numId="16" w16cid:durableId="222758244">
    <w:abstractNumId w:val="13"/>
  </w:num>
  <w:num w:numId="17" w16cid:durableId="203636593">
    <w:abstractNumId w:val="18"/>
  </w:num>
  <w:num w:numId="18" w16cid:durableId="353112824">
    <w:abstractNumId w:val="15"/>
  </w:num>
  <w:num w:numId="19" w16cid:durableId="1639720779">
    <w:abstractNumId w:val="16"/>
  </w:num>
  <w:num w:numId="20" w16cid:durableId="797843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E9"/>
    <w:rsid w:val="00000723"/>
    <w:rsid w:val="00006B34"/>
    <w:rsid w:val="00055FA3"/>
    <w:rsid w:val="000862A3"/>
    <w:rsid w:val="000A19C7"/>
    <w:rsid w:val="000B0E32"/>
    <w:rsid w:val="000D29E6"/>
    <w:rsid w:val="000E4F00"/>
    <w:rsid w:val="001006D6"/>
    <w:rsid w:val="001009E9"/>
    <w:rsid w:val="00112FB7"/>
    <w:rsid w:val="00126693"/>
    <w:rsid w:val="001831DC"/>
    <w:rsid w:val="00196125"/>
    <w:rsid w:val="001B135A"/>
    <w:rsid w:val="001D59C5"/>
    <w:rsid w:val="001D7E64"/>
    <w:rsid w:val="00206BE7"/>
    <w:rsid w:val="00224B69"/>
    <w:rsid w:val="00280C6E"/>
    <w:rsid w:val="00283D3F"/>
    <w:rsid w:val="002D7DDC"/>
    <w:rsid w:val="002F09A7"/>
    <w:rsid w:val="00302C74"/>
    <w:rsid w:val="00317ED3"/>
    <w:rsid w:val="0032656D"/>
    <w:rsid w:val="00327B94"/>
    <w:rsid w:val="00396D03"/>
    <w:rsid w:val="00397858"/>
    <w:rsid w:val="003A0D2C"/>
    <w:rsid w:val="003A14F4"/>
    <w:rsid w:val="003B4E4B"/>
    <w:rsid w:val="003F4FF6"/>
    <w:rsid w:val="004245D8"/>
    <w:rsid w:val="00465DC5"/>
    <w:rsid w:val="00487D1E"/>
    <w:rsid w:val="004932DB"/>
    <w:rsid w:val="004D0C77"/>
    <w:rsid w:val="004D64B0"/>
    <w:rsid w:val="005730FD"/>
    <w:rsid w:val="0057393B"/>
    <w:rsid w:val="00586515"/>
    <w:rsid w:val="005932BB"/>
    <w:rsid w:val="005C0ECD"/>
    <w:rsid w:val="005D59A5"/>
    <w:rsid w:val="005F0A3A"/>
    <w:rsid w:val="005F3AA2"/>
    <w:rsid w:val="00632612"/>
    <w:rsid w:val="00640A0E"/>
    <w:rsid w:val="00646DD6"/>
    <w:rsid w:val="00655E0A"/>
    <w:rsid w:val="006566B8"/>
    <w:rsid w:val="00673B35"/>
    <w:rsid w:val="006C5742"/>
    <w:rsid w:val="007212F7"/>
    <w:rsid w:val="007550C1"/>
    <w:rsid w:val="0078691B"/>
    <w:rsid w:val="007876D3"/>
    <w:rsid w:val="007D3224"/>
    <w:rsid w:val="008567CF"/>
    <w:rsid w:val="0086139A"/>
    <w:rsid w:val="008D70AE"/>
    <w:rsid w:val="008E0B40"/>
    <w:rsid w:val="00910FCB"/>
    <w:rsid w:val="009161B5"/>
    <w:rsid w:val="00974CEE"/>
    <w:rsid w:val="00997803"/>
    <w:rsid w:val="009B2411"/>
    <w:rsid w:val="009D1315"/>
    <w:rsid w:val="009F07C2"/>
    <w:rsid w:val="00A0333B"/>
    <w:rsid w:val="00A0611E"/>
    <w:rsid w:val="00A21B59"/>
    <w:rsid w:val="00A60B27"/>
    <w:rsid w:val="00A73BAF"/>
    <w:rsid w:val="00A82B0F"/>
    <w:rsid w:val="00AB7440"/>
    <w:rsid w:val="00AF51C3"/>
    <w:rsid w:val="00B01B5F"/>
    <w:rsid w:val="00B10F2D"/>
    <w:rsid w:val="00B210D9"/>
    <w:rsid w:val="00B30027"/>
    <w:rsid w:val="00B30435"/>
    <w:rsid w:val="00B35BCF"/>
    <w:rsid w:val="00B62517"/>
    <w:rsid w:val="00B833DD"/>
    <w:rsid w:val="00B91986"/>
    <w:rsid w:val="00B93674"/>
    <w:rsid w:val="00BD4A6D"/>
    <w:rsid w:val="00C16A1F"/>
    <w:rsid w:val="00C256E9"/>
    <w:rsid w:val="00C34EDE"/>
    <w:rsid w:val="00CA4207"/>
    <w:rsid w:val="00CA43EE"/>
    <w:rsid w:val="00CA4AB9"/>
    <w:rsid w:val="00CD17BC"/>
    <w:rsid w:val="00CE4D5F"/>
    <w:rsid w:val="00D02F23"/>
    <w:rsid w:val="00D20AB3"/>
    <w:rsid w:val="00D417C7"/>
    <w:rsid w:val="00D46361"/>
    <w:rsid w:val="00D819A8"/>
    <w:rsid w:val="00D869C8"/>
    <w:rsid w:val="00D87CF1"/>
    <w:rsid w:val="00DA35D1"/>
    <w:rsid w:val="00DA68FB"/>
    <w:rsid w:val="00DD374C"/>
    <w:rsid w:val="00DE48AE"/>
    <w:rsid w:val="00DF563B"/>
    <w:rsid w:val="00E369EF"/>
    <w:rsid w:val="00E578A4"/>
    <w:rsid w:val="00E65045"/>
    <w:rsid w:val="00EA1106"/>
    <w:rsid w:val="00EA18F9"/>
    <w:rsid w:val="00EC287C"/>
    <w:rsid w:val="00EE0A66"/>
    <w:rsid w:val="00F34516"/>
    <w:rsid w:val="00F94E79"/>
    <w:rsid w:val="00FC71D1"/>
    <w:rsid w:val="00FF18FE"/>
    <w:rsid w:val="01AF6760"/>
    <w:rsid w:val="02BDD245"/>
    <w:rsid w:val="02E03FFA"/>
    <w:rsid w:val="0415B0DC"/>
    <w:rsid w:val="046C9099"/>
    <w:rsid w:val="05385CAE"/>
    <w:rsid w:val="05B88C02"/>
    <w:rsid w:val="0650136E"/>
    <w:rsid w:val="087E9FEA"/>
    <w:rsid w:val="090A4B00"/>
    <w:rsid w:val="0916F88D"/>
    <w:rsid w:val="0A780CE2"/>
    <w:rsid w:val="0BAC58C5"/>
    <w:rsid w:val="0C276AB3"/>
    <w:rsid w:val="10B6F7F0"/>
    <w:rsid w:val="11BB5B7C"/>
    <w:rsid w:val="128B3694"/>
    <w:rsid w:val="139CB0B2"/>
    <w:rsid w:val="150CE042"/>
    <w:rsid w:val="156EE97D"/>
    <w:rsid w:val="15C7E1F4"/>
    <w:rsid w:val="164EDE61"/>
    <w:rsid w:val="16616828"/>
    <w:rsid w:val="171E1089"/>
    <w:rsid w:val="17529C9B"/>
    <w:rsid w:val="176C2A36"/>
    <w:rsid w:val="17968C1C"/>
    <w:rsid w:val="18001293"/>
    <w:rsid w:val="18FB42EB"/>
    <w:rsid w:val="1911A3D2"/>
    <w:rsid w:val="1983F4F4"/>
    <w:rsid w:val="1B258B23"/>
    <w:rsid w:val="1BD3B4C8"/>
    <w:rsid w:val="1BE4A376"/>
    <w:rsid w:val="1C18B5F0"/>
    <w:rsid w:val="1DB60994"/>
    <w:rsid w:val="1DFF654B"/>
    <w:rsid w:val="1E01EDB9"/>
    <w:rsid w:val="1EBF7C1A"/>
    <w:rsid w:val="1F0A6492"/>
    <w:rsid w:val="1FADCABE"/>
    <w:rsid w:val="20AE038E"/>
    <w:rsid w:val="20DE5097"/>
    <w:rsid w:val="2163D94C"/>
    <w:rsid w:val="235C3EA4"/>
    <w:rsid w:val="23771F13"/>
    <w:rsid w:val="23A48FCA"/>
    <w:rsid w:val="23DB8530"/>
    <w:rsid w:val="240493F5"/>
    <w:rsid w:val="252DA920"/>
    <w:rsid w:val="25472B60"/>
    <w:rsid w:val="25549690"/>
    <w:rsid w:val="2598089F"/>
    <w:rsid w:val="25A556FC"/>
    <w:rsid w:val="25A669F7"/>
    <w:rsid w:val="2694F566"/>
    <w:rsid w:val="27C5767D"/>
    <w:rsid w:val="284D8194"/>
    <w:rsid w:val="295E430B"/>
    <w:rsid w:val="2A0C8AF5"/>
    <w:rsid w:val="2B5AA1E9"/>
    <w:rsid w:val="2BFD0BD8"/>
    <w:rsid w:val="2C2ADDF2"/>
    <w:rsid w:val="2C6E9EB9"/>
    <w:rsid w:val="2CD46C7A"/>
    <w:rsid w:val="2D51820B"/>
    <w:rsid w:val="2DA10BF2"/>
    <w:rsid w:val="2DF049BC"/>
    <w:rsid w:val="2E27AA61"/>
    <w:rsid w:val="2EA0CC34"/>
    <w:rsid w:val="2F19E674"/>
    <w:rsid w:val="2FCC6600"/>
    <w:rsid w:val="2FE46849"/>
    <w:rsid w:val="312281CC"/>
    <w:rsid w:val="3394599F"/>
    <w:rsid w:val="33EF920C"/>
    <w:rsid w:val="34D85780"/>
    <w:rsid w:val="35FEF1E3"/>
    <w:rsid w:val="368F2E4C"/>
    <w:rsid w:val="36AC6810"/>
    <w:rsid w:val="37026197"/>
    <w:rsid w:val="381E5B7B"/>
    <w:rsid w:val="3A8280D3"/>
    <w:rsid w:val="3B75D644"/>
    <w:rsid w:val="3C16BE3E"/>
    <w:rsid w:val="3D058647"/>
    <w:rsid w:val="3D97B6DA"/>
    <w:rsid w:val="3F744EC2"/>
    <w:rsid w:val="409EB4A3"/>
    <w:rsid w:val="411DB69A"/>
    <w:rsid w:val="41359A6D"/>
    <w:rsid w:val="4159B69F"/>
    <w:rsid w:val="416DE4AD"/>
    <w:rsid w:val="420FDE41"/>
    <w:rsid w:val="428C4733"/>
    <w:rsid w:val="43018AE5"/>
    <w:rsid w:val="4415CBD3"/>
    <w:rsid w:val="44866B29"/>
    <w:rsid w:val="465CE149"/>
    <w:rsid w:val="46907F55"/>
    <w:rsid w:val="4692EFAD"/>
    <w:rsid w:val="469AAF2B"/>
    <w:rsid w:val="47415907"/>
    <w:rsid w:val="4787FD69"/>
    <w:rsid w:val="47C19B90"/>
    <w:rsid w:val="47CBD8D1"/>
    <w:rsid w:val="481AFAEF"/>
    <w:rsid w:val="48770826"/>
    <w:rsid w:val="49AD38C5"/>
    <w:rsid w:val="4A2CAAEA"/>
    <w:rsid w:val="4AF682FC"/>
    <w:rsid w:val="4BA9B49E"/>
    <w:rsid w:val="4C20732D"/>
    <w:rsid w:val="4C6BE88E"/>
    <w:rsid w:val="4D8F2999"/>
    <w:rsid w:val="4EF9F19D"/>
    <w:rsid w:val="5031461F"/>
    <w:rsid w:val="548EF135"/>
    <w:rsid w:val="54B8B1E9"/>
    <w:rsid w:val="5526F9A2"/>
    <w:rsid w:val="55683517"/>
    <w:rsid w:val="557A3D3D"/>
    <w:rsid w:val="55D48AAA"/>
    <w:rsid w:val="570A78A3"/>
    <w:rsid w:val="5768AB8E"/>
    <w:rsid w:val="57F218F9"/>
    <w:rsid w:val="57F6652B"/>
    <w:rsid w:val="58990EF0"/>
    <w:rsid w:val="59029F79"/>
    <w:rsid w:val="59C050CB"/>
    <w:rsid w:val="59F78FBA"/>
    <w:rsid w:val="5AE653B2"/>
    <w:rsid w:val="5AFFEFF9"/>
    <w:rsid w:val="5BB3EE3C"/>
    <w:rsid w:val="5BD03B46"/>
    <w:rsid w:val="5C113C83"/>
    <w:rsid w:val="5C3A750D"/>
    <w:rsid w:val="5C7BA132"/>
    <w:rsid w:val="5CD08DA5"/>
    <w:rsid w:val="5D8463C3"/>
    <w:rsid w:val="5E119C13"/>
    <w:rsid w:val="5EA603C9"/>
    <w:rsid w:val="5EE36385"/>
    <w:rsid w:val="5F7B30E6"/>
    <w:rsid w:val="603B418B"/>
    <w:rsid w:val="62084E3E"/>
    <w:rsid w:val="6231FCB7"/>
    <w:rsid w:val="6282ED87"/>
    <w:rsid w:val="6366014E"/>
    <w:rsid w:val="642AD9A5"/>
    <w:rsid w:val="65792A14"/>
    <w:rsid w:val="6600C1E4"/>
    <w:rsid w:val="661053B2"/>
    <w:rsid w:val="67152940"/>
    <w:rsid w:val="68069149"/>
    <w:rsid w:val="68913483"/>
    <w:rsid w:val="69B25A43"/>
    <w:rsid w:val="69CA756E"/>
    <w:rsid w:val="69FA9DFB"/>
    <w:rsid w:val="6A873D7D"/>
    <w:rsid w:val="6A8F3C4E"/>
    <w:rsid w:val="6AF1452B"/>
    <w:rsid w:val="6B8396D2"/>
    <w:rsid w:val="6C562B74"/>
    <w:rsid w:val="6E5B4921"/>
    <w:rsid w:val="6ED11685"/>
    <w:rsid w:val="6F1AB4D5"/>
    <w:rsid w:val="7082DBD8"/>
    <w:rsid w:val="70895F09"/>
    <w:rsid w:val="7350853B"/>
    <w:rsid w:val="745803EF"/>
    <w:rsid w:val="7576AD5A"/>
    <w:rsid w:val="757D2F6F"/>
    <w:rsid w:val="757D2F6F"/>
    <w:rsid w:val="7610890D"/>
    <w:rsid w:val="7638C685"/>
    <w:rsid w:val="7716C9A5"/>
    <w:rsid w:val="781D7824"/>
    <w:rsid w:val="7888FF96"/>
    <w:rsid w:val="79BBD1EA"/>
    <w:rsid w:val="7BD81957"/>
    <w:rsid w:val="7C216C20"/>
    <w:rsid w:val="7E75C0F1"/>
    <w:rsid w:val="7FC5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6D07C"/>
  <w15:chartTrackingRefBased/>
  <w15:docId w15:val="{53AF3AB3-8AA6-4321-9548-BCAA2229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20AB3"/>
    <w:pPr>
      <w:keepNext/>
      <w:spacing w:after="0" w:line="240" w:lineRule="auto"/>
      <w:outlineLvl w:val="0"/>
    </w:pPr>
    <w:rPr>
      <w:rFonts w:ascii="Cambria" w:hAnsi="Cambria" w:eastAsia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0AB3"/>
    <w:pPr>
      <w:keepNext/>
      <w:spacing w:after="0" w:line="240" w:lineRule="auto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6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20AB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0AB3"/>
  </w:style>
  <w:style w:type="paragraph" w:styleId="Footer">
    <w:name w:val="footer"/>
    <w:basedOn w:val="Normal"/>
    <w:link w:val="FooterChar"/>
    <w:uiPriority w:val="99"/>
    <w:unhideWhenUsed/>
    <w:rsid w:val="00D20AB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0AB3"/>
  </w:style>
  <w:style w:type="character" w:styleId="Heading1Char" w:customStyle="1">
    <w:name w:val="Heading 1 Char"/>
    <w:basedOn w:val="DefaultParagraphFont"/>
    <w:link w:val="Heading1"/>
    <w:uiPriority w:val="99"/>
    <w:rsid w:val="00D20AB3"/>
    <w:rPr>
      <w:rFonts w:ascii="Cambria" w:hAnsi="Cambria" w:eastAsia="Times New Roman"/>
      <w:b/>
      <w:bCs/>
      <w:kern w:val="32"/>
      <w:sz w:val="32"/>
      <w:szCs w:val="32"/>
      <w:lang w:val="x-none" w:eastAsia="x-none"/>
    </w:rPr>
  </w:style>
  <w:style w:type="character" w:styleId="Heading2Char" w:customStyle="1">
    <w:name w:val="Heading 2 Char"/>
    <w:basedOn w:val="DefaultParagraphFont"/>
    <w:link w:val="Heading2"/>
    <w:uiPriority w:val="99"/>
    <w:rsid w:val="00D20AB3"/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DA3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5D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E4F0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35BCF"/>
    <w:pPr>
      <w:spacing w:after="0" w:line="240" w:lineRule="auto"/>
    </w:pPr>
  </w:style>
  <w:style w:type="paragraph" w:styleId="NoSpacing1" w:customStyle="1">
    <w:name w:val="No Spacing1"/>
    <w:link w:val="NoSpacingChar"/>
    <w:uiPriority w:val="1"/>
    <w:qFormat/>
    <w:rsid w:val="00DF563B"/>
    <w:pPr>
      <w:spacing w:after="0" w:line="240" w:lineRule="auto"/>
    </w:pPr>
    <w:rPr>
      <w:rFonts w:ascii="Calibri" w:hAnsi="Calibri" w:eastAsia="Times New Roman"/>
    </w:rPr>
  </w:style>
  <w:style w:type="character" w:styleId="NoSpacingChar" w:customStyle="1">
    <w:name w:val="No Spacing Char"/>
    <w:link w:val="NoSpacing1"/>
    <w:uiPriority w:val="1"/>
    <w:rsid w:val="00DF563B"/>
    <w:rPr>
      <w:rFonts w:ascii="Calibri" w:hAnsi="Calibri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esponsesystem.org/ksa" TargetMode="External" Id="rId13" /><Relationship Type="http://schemas.openxmlformats.org/officeDocument/2006/relationships/hyperlink" Target="https://www.responsesystem.org/ksa" TargetMode="External" Id="rId18" /><Relationship Type="http://schemas.openxmlformats.org/officeDocument/2006/relationships/hyperlink" Target="https://www.responsesystem.org/ksa" TargetMode="External" Id="rId26" /><Relationship Type="http://schemas.openxmlformats.org/officeDocument/2006/relationships/fontTable" Target="fontTable.xml" Id="rId39" /><Relationship Type="http://schemas.openxmlformats.org/officeDocument/2006/relationships/webSettings" Target="webSettings.xml" Id="rId7" /><Relationship Type="http://schemas.openxmlformats.org/officeDocument/2006/relationships/hyperlink" Target="https://www.responsesystem.org/ksa" TargetMode="External" Id="rId12" /><Relationship Type="http://schemas.openxmlformats.org/officeDocument/2006/relationships/hyperlink" Target="https://www.responsesystem.org/ksa" TargetMode="External" Id="rId17" /><Relationship Type="http://schemas.openxmlformats.org/officeDocument/2006/relationships/footer" Target="footer1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responsesystem.org/ksa" TargetMode="External" Id="rId16" /><Relationship Type="http://schemas.openxmlformats.org/officeDocument/2006/relationships/hyperlink" Target="https://www.responsesystem.org/ksa" TargetMode="External" Id="rId20" /><Relationship Type="http://schemas.openxmlformats.org/officeDocument/2006/relationships/hyperlink" Target="https://www.responsesystem.org/ksa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responsesystem.org/ksa" TargetMode="External" Id="rId11" /><Relationship Type="http://schemas.openxmlformats.org/officeDocument/2006/relationships/hyperlink" Target="https://www.responsesystem.org/ksa" TargetMode="External" Id="rId24" /><Relationship Type="http://schemas.openxmlformats.org/officeDocument/2006/relationships/hyperlink" Target="https://www.responsesystem.org/ksa" TargetMode="External" Id="rId32" /><Relationship Type="http://schemas.openxmlformats.org/officeDocument/2006/relationships/header" Target="header1.xml" Id="rId37" /><Relationship Type="http://schemas.openxmlformats.org/officeDocument/2006/relationships/theme" Target="theme/theme1.xml" Id="rId40" /><Relationship Type="http://schemas.openxmlformats.org/officeDocument/2006/relationships/styles" Target="styles.xml" Id="rId5" /><Relationship Type="http://schemas.openxmlformats.org/officeDocument/2006/relationships/hyperlink" Target="https://www.responsesystem.org/ksa" TargetMode="External" Id="rId15" /><Relationship Type="http://schemas.openxmlformats.org/officeDocument/2006/relationships/hyperlink" Target="https://www.responsesystem.org/ksa" TargetMode="External" Id="rId23" /><Relationship Type="http://schemas.openxmlformats.org/officeDocument/2006/relationships/hyperlink" Target="https://www.responsesystem.org/ksa" TargetMode="External" Id="rId28" /><Relationship Type="http://schemas.openxmlformats.org/officeDocument/2006/relationships/hyperlink" Target="https://www.responsesystem.org/ksa" TargetMode="External" Id="rId36" /><Relationship Type="http://schemas.openxmlformats.org/officeDocument/2006/relationships/hyperlink" Target="https://www.responsesystem.org/ksa" TargetMode="External" Id="rId10" /><Relationship Type="http://schemas.openxmlformats.org/officeDocument/2006/relationships/hyperlink" Target="https://www.responsesystem.org/ksa" TargetMode="External" Id="rId19" /><Relationship Type="http://schemas.openxmlformats.org/officeDocument/2006/relationships/hyperlink" Target="https://www.responsesystem.org/ksa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responsesystem.org/ksa" TargetMode="External" Id="rId14" /><Relationship Type="http://schemas.openxmlformats.org/officeDocument/2006/relationships/hyperlink" Target="https://www.responsesystem.org/ksa" TargetMode="External" Id="rId22" /><Relationship Type="http://schemas.openxmlformats.org/officeDocument/2006/relationships/hyperlink" Target="https://www.responsesystem.org/ksa" TargetMode="External" Id="rId30" /><Relationship Type="http://schemas.openxmlformats.org/officeDocument/2006/relationships/hyperlink" Target="https://www.responsesystem.org/ksa" TargetMode="External" Id="rId35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responsesystem.org/ksa" TargetMode="External" Id="Re21834deaeec4a30" /><Relationship Type="http://schemas.openxmlformats.org/officeDocument/2006/relationships/hyperlink" Target="https://www.responsesystem.org/ksa" TargetMode="External" Id="R82cd077b26da4410" /><Relationship Type="http://schemas.openxmlformats.org/officeDocument/2006/relationships/hyperlink" Target="https://www.responsesystem.org/ksa" TargetMode="External" Id="R934a63a2452c4ac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7DAD97-5469-4F7C-9171-177DC738C841}">
  <we:reference id="wa104380526" version="1.0.32.0" store="en-US" storeType="OMEX"/>
  <we:alternateReferences>
    <we:reference id="WA104380526" version="1.0.32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66C4A10ED2D409FE5E69FEC860330" ma:contentTypeVersion="11" ma:contentTypeDescription="Create a new document." ma:contentTypeScope="" ma:versionID="78fdee8c56c6e0ee2b9c93103205ebeb">
  <xsd:schema xmlns:xsd="http://www.w3.org/2001/XMLSchema" xmlns:xs="http://www.w3.org/2001/XMLSchema" xmlns:p="http://schemas.microsoft.com/office/2006/metadata/properties" xmlns:ns2="18c3b618-269c-427b-8343-2129b6d2895a" xmlns:ns3="33b37884-aedb-4be0-a95a-761ab9662f96" targetNamespace="http://schemas.microsoft.com/office/2006/metadata/properties" ma:root="true" ma:fieldsID="97e66c96cd90e6729b0f359d607716cb" ns2:_="" ns3:_="">
    <xsd:import namespace="18c3b618-269c-427b-8343-2129b6d2895a"/>
    <xsd:import namespace="33b37884-aedb-4be0-a95a-761ab9662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b618-269c-427b-8343-2129b6d28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fa3e78-f6cf-4842-8793-cebc646f8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37884-aedb-4be0-a95a-761ab9662f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901777-6dc3-4890-ac72-76d0f1a83ea2}" ma:internalName="TaxCatchAll" ma:showField="CatchAllData" ma:web="33b37884-aedb-4be0-a95a-761ab9662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c3b618-269c-427b-8343-2129b6d2895a">
      <Terms xmlns="http://schemas.microsoft.com/office/infopath/2007/PartnerControls"/>
    </lcf76f155ced4ddcb4097134ff3c332f>
    <TaxCatchAll xmlns="33b37884-aedb-4be0-a95a-761ab9662f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F4BD4-767C-456F-86AA-4407F9DCF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3b618-269c-427b-8343-2129b6d2895a"/>
    <ds:schemaRef ds:uri="33b37884-aedb-4be0-a95a-761ab9662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000E-DDEB-4B08-A1D2-DCBEB00717B1}">
  <ds:schemaRefs>
    <ds:schemaRef ds:uri="http://schemas.microsoft.com/office/2006/metadata/properties"/>
    <ds:schemaRef ds:uri="http://schemas.microsoft.com/office/infopath/2007/PartnerControls"/>
    <ds:schemaRef ds:uri="18c3b618-269c-427b-8343-2129b6d2895a"/>
    <ds:schemaRef ds:uri="33b37884-aedb-4be0-a95a-761ab9662f96"/>
  </ds:schemaRefs>
</ds:datastoreItem>
</file>

<file path=customXml/itemProps3.xml><?xml version="1.0" encoding="utf-8"?>
<ds:datastoreItem xmlns:ds="http://schemas.openxmlformats.org/officeDocument/2006/customXml" ds:itemID="{BE9BF47E-89EC-408D-BCD8-FFFADDC845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Keith F. Bevan</dc:creator>
  <keywords/>
  <dc:description/>
  <lastModifiedBy>Jesus Garcia</lastModifiedBy>
  <revision>21</revision>
  <lastPrinted>2023-09-25T21:32:00.0000000Z</lastPrinted>
  <dcterms:created xsi:type="dcterms:W3CDTF">2023-10-12T20:32:00.0000000Z</dcterms:created>
  <dcterms:modified xsi:type="dcterms:W3CDTF">2025-10-01T17:40:34.0185838Z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060bdd6c3291231942290150157f03a4f8f0798cf06d2e6ae21026d454a77907</vt:lpwstr>
  </property>
  <property fmtid="{D5CDD505-2E9C-101B-9397-08002B2CF9AE}" pid="3" name="ContentTypeId">
    <vt:lpwstr>0x010100C2B66C4A10ED2D409FE5E69FEC860330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